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44" w:rsidRPr="001A207E" w:rsidRDefault="00353344" w:rsidP="00353344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1A207E">
        <w:rPr>
          <w:lang w:val="hr-HR"/>
        </w:rPr>
        <w:t xml:space="preserve">        </w:t>
      </w:r>
      <w:r w:rsidRPr="001A207E">
        <w:rPr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70551065" r:id="rId6"/>
        </w:object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</w:p>
    <w:p w:rsidR="00353344" w:rsidRPr="001A207E" w:rsidRDefault="00353344" w:rsidP="00353344">
      <w:pPr>
        <w:keepNext/>
        <w:ind w:left="-567" w:hanging="142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REPUBLIKA HRVATSKA</w:t>
      </w:r>
    </w:p>
    <w:p w:rsidR="00353344" w:rsidRPr="001A207E" w:rsidRDefault="00353344" w:rsidP="00353344">
      <w:pPr>
        <w:keepNext/>
        <w:ind w:left="-567" w:hanging="142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>VUKOVARSKO-SRIJEMSKA ŽUPANIJA</w:t>
      </w:r>
    </w:p>
    <w:p w:rsidR="00353344" w:rsidRPr="001A207E" w:rsidRDefault="00353344" w:rsidP="00353344">
      <w:pPr>
        <w:keepNext/>
        <w:ind w:left="-709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      OPĆINA LOVAS</w:t>
      </w:r>
    </w:p>
    <w:p w:rsidR="00353344" w:rsidRDefault="00353344" w:rsidP="00353344">
      <w:pPr>
        <w:keepNext/>
        <w:ind w:left="-709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OPĆINSKI NAČELNIK</w:t>
      </w:r>
    </w:p>
    <w:p w:rsidR="00353344" w:rsidRPr="00753140" w:rsidRDefault="00353344" w:rsidP="00353344">
      <w:pPr>
        <w:rPr>
          <w:rFonts w:ascii="Times New Roman" w:hAnsi="Times New Roman"/>
          <w:sz w:val="24"/>
          <w:szCs w:val="24"/>
          <w:lang w:val="hr-HR"/>
        </w:rPr>
      </w:pP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 xml:space="preserve">Naziv obveznika: OPĆINA LOVAS                               </w:t>
      </w:r>
      <w:r w:rsidR="000219E0">
        <w:rPr>
          <w:rFonts w:ascii="Times New Roman" w:hAnsi="Times New Roman"/>
          <w:b/>
          <w:sz w:val="24"/>
          <w:szCs w:val="24"/>
          <w:lang w:val="hr-HR"/>
        </w:rPr>
        <w:t xml:space="preserve">                      Razina: 23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353344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353344" w:rsidRPr="001A207E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753140" w:rsidRDefault="00353344" w:rsidP="00353344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3140"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353344" w:rsidRPr="00753140" w:rsidRDefault="00353344" w:rsidP="00353344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3140">
        <w:rPr>
          <w:rFonts w:ascii="Times New Roman" w:hAnsi="Times New Roman"/>
          <w:b/>
          <w:sz w:val="32"/>
          <w:szCs w:val="32"/>
          <w:lang w:val="hr-HR"/>
        </w:rPr>
        <w:t>za razdoblje od 01. sij</w:t>
      </w:r>
      <w:r w:rsidR="00A37698">
        <w:rPr>
          <w:rFonts w:ascii="Times New Roman" w:hAnsi="Times New Roman"/>
          <w:b/>
          <w:sz w:val="32"/>
          <w:szCs w:val="32"/>
          <w:lang w:val="hr-HR"/>
        </w:rPr>
        <w:t>ečnja do 31. prosinca 2023</w:t>
      </w:r>
      <w:r w:rsidRPr="00753140">
        <w:rPr>
          <w:rFonts w:ascii="Times New Roman" w:hAnsi="Times New Roman"/>
          <w:b/>
          <w:sz w:val="32"/>
          <w:szCs w:val="32"/>
          <w:lang w:val="hr-HR"/>
        </w:rPr>
        <w:t>.</w:t>
      </w:r>
    </w:p>
    <w:p w:rsidR="00353344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753140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353344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  <w:r w:rsidRPr="00753140"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353344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353344" w:rsidRPr="001656C0" w:rsidRDefault="00353344" w:rsidP="0035334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56C0">
        <w:rPr>
          <w:rFonts w:ascii="Times New Roman" w:hAnsi="Times New Roman"/>
          <w:sz w:val="24"/>
          <w:szCs w:val="24"/>
        </w:rPr>
        <w:t>Prema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podacima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iz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Izvještaja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656C0">
        <w:rPr>
          <w:rFonts w:ascii="Times New Roman" w:hAnsi="Times New Roman"/>
          <w:sz w:val="24"/>
          <w:szCs w:val="24"/>
        </w:rPr>
        <w:t>prihodima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rashodima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6C0">
        <w:rPr>
          <w:rFonts w:ascii="Times New Roman" w:hAnsi="Times New Roman"/>
          <w:sz w:val="24"/>
          <w:szCs w:val="24"/>
        </w:rPr>
        <w:t>primicima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izdacima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698" w:rsidRPr="001656C0">
        <w:rPr>
          <w:rFonts w:ascii="Times New Roman" w:hAnsi="Times New Roman"/>
          <w:sz w:val="24"/>
          <w:szCs w:val="24"/>
        </w:rPr>
        <w:t>za</w:t>
      </w:r>
      <w:proofErr w:type="spellEnd"/>
      <w:r w:rsidR="00A37698" w:rsidRPr="001656C0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A37698" w:rsidRPr="001656C0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A37698" w:rsidRPr="001656C0">
        <w:rPr>
          <w:rFonts w:ascii="Times New Roman" w:hAnsi="Times New Roman"/>
          <w:sz w:val="24"/>
          <w:szCs w:val="24"/>
        </w:rPr>
        <w:t xml:space="preserve"> 01.01.-31.12.2023</w:t>
      </w:r>
      <w:r w:rsidRPr="001656C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656C0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1656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6C0">
        <w:rPr>
          <w:rFonts w:ascii="Times New Roman" w:hAnsi="Times New Roman"/>
          <w:sz w:val="24"/>
          <w:szCs w:val="24"/>
        </w:rPr>
        <w:t>ukupni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prihodi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ostvareni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su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56C0">
        <w:rPr>
          <w:rFonts w:ascii="Times New Roman" w:hAnsi="Times New Roman"/>
          <w:sz w:val="24"/>
          <w:szCs w:val="24"/>
        </w:rPr>
        <w:t>iznosu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od </w:t>
      </w:r>
      <w:r w:rsidR="000219E0">
        <w:rPr>
          <w:rFonts w:ascii="Times New Roman" w:hAnsi="Times New Roman"/>
          <w:sz w:val="24"/>
          <w:szCs w:val="24"/>
        </w:rPr>
        <w:t>989.589,21</w:t>
      </w:r>
      <w:r w:rsidR="00A37698" w:rsidRPr="001656C0">
        <w:rPr>
          <w:rFonts w:ascii="Times New Roman" w:hAnsi="Times New Roman"/>
          <w:sz w:val="24"/>
          <w:szCs w:val="24"/>
        </w:rPr>
        <w:t xml:space="preserve"> EUR</w:t>
      </w:r>
      <w:r w:rsidRPr="001656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6C0">
        <w:rPr>
          <w:rFonts w:ascii="Times New Roman" w:hAnsi="Times New Roman"/>
          <w:sz w:val="24"/>
          <w:szCs w:val="24"/>
        </w:rPr>
        <w:t>te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656C0">
        <w:rPr>
          <w:rFonts w:ascii="Times New Roman" w:hAnsi="Times New Roman"/>
          <w:sz w:val="24"/>
          <w:szCs w:val="24"/>
        </w:rPr>
        <w:t>odnose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na</w:t>
      </w:r>
      <w:proofErr w:type="spellEnd"/>
      <w:r w:rsidRPr="001656C0">
        <w:rPr>
          <w:rFonts w:ascii="Times New Roman" w:hAnsi="Times New Roman"/>
          <w:sz w:val="24"/>
          <w:szCs w:val="24"/>
        </w:rPr>
        <w:t>:</w:t>
      </w:r>
    </w:p>
    <w:p w:rsidR="00353344" w:rsidRPr="001656C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>61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 –p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>rihodi od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 xml:space="preserve"> poreza veći su u odnosu na 2022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. godinu za 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>23,1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 %</w:t>
      </w: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>613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 – Naplatom poreza na kuće za odmor ostvareni su p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>rihodi manji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 u odnosu na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 xml:space="preserve"> 2022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. godinu za 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>6,80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 %</w:t>
      </w: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>614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 – evidentan je rast prihoda 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od poreza na promet od 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>7,3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 %, a odnosi se na  povećanje potrošnje alkoholnih i bezalkoholnih pića u ugostiteljskim objektima </w:t>
      </w: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bCs/>
          <w:sz w:val="24"/>
          <w:szCs w:val="24"/>
          <w:lang w:val="hr-HR"/>
        </w:rPr>
        <w:t xml:space="preserve">63 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>– pomoći iz inozemstva i od subjekata unutar općeg proračuna manje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 xml:space="preserve"> su u odnosu na 2022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. godinu za 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 xml:space="preserve">2,80 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>%, a odnose se na:</w:t>
      </w:r>
    </w:p>
    <w:p w:rsidR="008455CF" w:rsidRPr="001656C0" w:rsidRDefault="00353344" w:rsidP="008455CF">
      <w:pPr>
        <w:ind w:left="643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656C0">
        <w:rPr>
          <w:rFonts w:ascii="Times New Roman" w:hAnsi="Times New Roman"/>
          <w:bCs/>
          <w:sz w:val="24"/>
          <w:szCs w:val="24"/>
          <w:lang w:val="hr-HR"/>
        </w:rPr>
        <w:lastRenderedPageBreak/>
        <w:t xml:space="preserve">Tekuće pomoći iz državnog proračuna-sredstva fiskalnog izravnanja –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186.555,96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>. Preostali dio tekućih pomoći odnosi se na uplate za najam za ukrajinske obitelji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 9.371,02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, pomoći od Središnjeg državnog ureda za demografiju i mlade u iznosu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25.899,00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, za troškove ogrjeva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1.553,00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>, pomoći Ministarstva prostornog uređenja (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za pješačke staze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)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28.400,00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Min regionalnog razvoja-za pravoslavno groblje u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Opatovcu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 17.620,35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Ministarstvo branitelja (za spomen područje Minsko polje) 90.000,00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Min. regionalnog razvoja i fondova EU-uređenje centra 60.000,00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tekuće pomoći od HZZ-a za javni rad u iznosu od 5.133,00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Fond za zaštitu okoliša i energetsku učinkovitost (SECAP) 3.000,00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 i 7.747,48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 (edukacije)</w:t>
      </w:r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tekuće pomoći -projekt Zaželi faza III 97.348,52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, tekuće pomoći iz općinskog proračuna za RA TINTL, VSŽ za m</w:t>
      </w:r>
      <w:r w:rsidR="00EA3E72">
        <w:rPr>
          <w:rFonts w:ascii="Times New Roman" w:hAnsi="Times New Roman"/>
          <w:bCs/>
          <w:sz w:val="24"/>
          <w:szCs w:val="24"/>
          <w:lang w:val="hr-HR"/>
        </w:rPr>
        <w:t xml:space="preserve">iholjske dane 1.000,00 </w:t>
      </w:r>
      <w:proofErr w:type="spellStart"/>
      <w:r w:rsidR="00EA3E72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EA3E72">
        <w:rPr>
          <w:rFonts w:ascii="Times New Roman" w:hAnsi="Times New Roman"/>
          <w:bCs/>
          <w:sz w:val="24"/>
          <w:szCs w:val="24"/>
          <w:lang w:val="hr-HR"/>
        </w:rPr>
        <w:t xml:space="preserve">, za </w:t>
      </w:r>
      <w:proofErr w:type="spellStart"/>
      <w:r w:rsidR="00EA3E72">
        <w:rPr>
          <w:rFonts w:ascii="Times New Roman" w:hAnsi="Times New Roman"/>
          <w:bCs/>
          <w:sz w:val="24"/>
          <w:szCs w:val="24"/>
          <w:lang w:val="hr-HR"/>
        </w:rPr>
        <w:t>L</w:t>
      </w:r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ovaski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 list 800,00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za ublažavanje i uklanjanje posljedica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prir.nepogode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 u 07/23 17.021,93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 i za drugi kriterij 14.034,96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8455CF" w:rsidRPr="008455CF" w:rsidRDefault="008455CF" w:rsidP="008455CF">
      <w:pPr>
        <w:ind w:left="643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1656C0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 xml:space="preserve">6422 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– Ostvareni prihod od zakupa i iznajmljivanja imovine u iznosu od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 xml:space="preserve">41.634,55 </w:t>
      </w:r>
      <w:proofErr w:type="spellStart"/>
      <w:r w:rsidR="001656C0" w:rsidRPr="001656C0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>manji je u odnosu na 2022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. za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>44</w:t>
      </w:r>
      <w:r w:rsidRPr="001656C0">
        <w:rPr>
          <w:rFonts w:ascii="Times New Roman" w:hAnsi="Times New Roman"/>
          <w:sz w:val="24"/>
          <w:szCs w:val="24"/>
          <w:lang w:val="hr-HR"/>
        </w:rPr>
        <w:t>%, a odnosi se na naplatu prihoda od zakupa poljoprivrednog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 xml:space="preserve"> zemljišta, poslovnog prostora. Manji je s obzirom da je u 2022. bilo iznajmljivanje radnog stroja za razliku od 2023.</w:t>
      </w: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 xml:space="preserve">6423 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–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>povećanje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 naknade za korištenje nefinancijske imovine od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 xml:space="preserve">30,2 </w:t>
      </w:r>
      <w:r w:rsidRPr="001656C0">
        <w:rPr>
          <w:rFonts w:ascii="Times New Roman" w:hAnsi="Times New Roman"/>
          <w:sz w:val="24"/>
          <w:szCs w:val="24"/>
          <w:lang w:val="hr-HR"/>
        </w:rPr>
        <w:t>% odnosi se najvećim djelom na naknade za uporabu javnih gradskih/općinskih površina, odnosno uplatu Hrvatskog telekoma prema rješenju HAKOM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 xml:space="preserve"> i naknade za razvoj od Komunalije Ilok</w:t>
      </w:r>
    </w:p>
    <w:p w:rsidR="00B04856" w:rsidRDefault="00B04856" w:rsidP="00B0485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69362E">
        <w:rPr>
          <w:rFonts w:ascii="Times New Roman" w:hAnsi="Times New Roman"/>
          <w:b/>
          <w:sz w:val="24"/>
          <w:szCs w:val="24"/>
          <w:lang w:val="hr-HR"/>
        </w:rPr>
        <w:t>6526</w:t>
      </w:r>
      <w:r w:rsidRPr="00B04856">
        <w:rPr>
          <w:rFonts w:ascii="Times New Roman" w:hAnsi="Times New Roman"/>
          <w:sz w:val="24"/>
          <w:szCs w:val="24"/>
          <w:lang w:val="hr-HR"/>
        </w:rPr>
        <w:t xml:space="preserve">- Prihodi s naslova osiguranja, refundacije štete i totalne štete ostvareni su u iznosu od </w:t>
      </w:r>
      <w:r w:rsidR="0069362E">
        <w:rPr>
          <w:rFonts w:ascii="Times New Roman" w:hAnsi="Times New Roman"/>
          <w:sz w:val="24"/>
          <w:szCs w:val="24"/>
          <w:lang w:val="hr-HR"/>
        </w:rPr>
        <w:t>1.811,28</w:t>
      </w:r>
      <w:r w:rsidRPr="00B0485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B04856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B04856">
        <w:rPr>
          <w:rFonts w:ascii="Times New Roman" w:hAnsi="Times New Roman"/>
          <w:sz w:val="24"/>
          <w:szCs w:val="24"/>
          <w:lang w:val="hr-HR"/>
        </w:rPr>
        <w:t xml:space="preserve"> za razliku od 2022. godine</w:t>
      </w:r>
    </w:p>
    <w:p w:rsidR="00C84DDC" w:rsidRPr="00B04856" w:rsidRDefault="00C84DDC" w:rsidP="00B0485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6615 </w:t>
      </w:r>
      <w:r>
        <w:rPr>
          <w:rFonts w:ascii="Times New Roman" w:hAnsi="Times New Roman"/>
          <w:sz w:val="24"/>
          <w:szCs w:val="24"/>
          <w:lang w:val="hr-HR"/>
        </w:rPr>
        <w:t>– Prihodi od pruženih usluga manj</w:t>
      </w:r>
      <w:r w:rsidR="00CA0A0F">
        <w:rPr>
          <w:rFonts w:ascii="Times New Roman" w:hAnsi="Times New Roman"/>
          <w:sz w:val="24"/>
          <w:szCs w:val="24"/>
          <w:lang w:val="hr-HR"/>
        </w:rPr>
        <w:t>i su u odnosu na 2022. za 93,9%, a odnose se na prihode koje ostvaruje proračunski korisnik.</w:t>
      </w:r>
    </w:p>
    <w:p w:rsidR="00353344" w:rsidRPr="00AC4655" w:rsidRDefault="00B04856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6632</w:t>
      </w:r>
      <w:r w:rsidR="00353344" w:rsidRPr="00AC4655">
        <w:rPr>
          <w:rFonts w:ascii="Times New Roman" w:hAnsi="Times New Roman"/>
          <w:bCs/>
          <w:sz w:val="24"/>
          <w:szCs w:val="24"/>
          <w:lang w:val="hr-HR"/>
        </w:rPr>
        <w:t xml:space="preserve"> – </w:t>
      </w:r>
      <w:r w:rsidRPr="00AC4655">
        <w:rPr>
          <w:rFonts w:ascii="Times New Roman" w:hAnsi="Times New Roman"/>
          <w:bCs/>
          <w:sz w:val="24"/>
          <w:szCs w:val="24"/>
          <w:lang w:val="hr-HR"/>
        </w:rPr>
        <w:t xml:space="preserve">primljene su kapitalne donacije od Zaklade za djecu za izgradnju dječjeg igrališta 15.000,00 </w:t>
      </w:r>
      <w:proofErr w:type="spellStart"/>
      <w:r w:rsidRPr="00AC4655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AC4655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353344" w:rsidRPr="00C84DDC" w:rsidRDefault="00C84DDC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C84DDC">
        <w:rPr>
          <w:rFonts w:ascii="Times New Roman" w:hAnsi="Times New Roman"/>
          <w:sz w:val="24"/>
          <w:szCs w:val="24"/>
          <w:lang w:val="hr-HR"/>
        </w:rPr>
        <w:t xml:space="preserve">     </w:t>
      </w: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353344" w:rsidRPr="009D4E41" w:rsidRDefault="00353344" w:rsidP="00353344">
      <w:pPr>
        <w:ind w:left="-180"/>
        <w:jc w:val="both"/>
        <w:rPr>
          <w:sz w:val="20"/>
        </w:rPr>
      </w:pPr>
    </w:p>
    <w:p w:rsidR="00353344" w:rsidRPr="009D4E41" w:rsidRDefault="00353344" w:rsidP="00353344">
      <w:pPr>
        <w:ind w:left="-180" w:firstLine="888"/>
        <w:jc w:val="both"/>
        <w:rPr>
          <w:rFonts w:ascii="Times New Roman" w:hAnsi="Times New Roman"/>
          <w:sz w:val="24"/>
          <w:szCs w:val="24"/>
        </w:rPr>
      </w:pPr>
      <w:r w:rsidRPr="009D4E41">
        <w:rPr>
          <w:sz w:val="20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Rashodi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poslovanja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(3</w:t>
      </w:r>
      <w:proofErr w:type="gramStart"/>
      <w:r w:rsidRPr="009D4E41">
        <w:rPr>
          <w:rFonts w:ascii="Times New Roman" w:hAnsi="Times New Roman"/>
          <w:sz w:val="24"/>
          <w:szCs w:val="24"/>
        </w:rPr>
        <w:t>)  u</w:t>
      </w:r>
      <w:proofErr w:type="gram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iznosu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od</w:t>
      </w:r>
      <w:r w:rsidR="00AC4655" w:rsidRPr="009D4E41">
        <w:rPr>
          <w:rFonts w:ascii="Times New Roman" w:hAnsi="Times New Roman"/>
          <w:sz w:val="24"/>
          <w:szCs w:val="24"/>
        </w:rPr>
        <w:t xml:space="preserve"> </w:t>
      </w:r>
      <w:r w:rsidR="00CA0A0F">
        <w:rPr>
          <w:rFonts w:ascii="Times New Roman" w:hAnsi="Times New Roman"/>
          <w:sz w:val="24"/>
          <w:szCs w:val="24"/>
        </w:rPr>
        <w:t>857.550,72</w:t>
      </w:r>
      <w:r w:rsidR="00AC4655"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4655" w:rsidRPr="009D4E41">
        <w:rPr>
          <w:rFonts w:ascii="Times New Roman" w:hAnsi="Times New Roman"/>
          <w:sz w:val="24"/>
          <w:szCs w:val="24"/>
        </w:rPr>
        <w:t>eur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C4655" w:rsidRPr="009D4E41">
        <w:rPr>
          <w:rFonts w:ascii="Times New Roman" w:hAnsi="Times New Roman"/>
          <w:sz w:val="24"/>
          <w:szCs w:val="24"/>
        </w:rPr>
        <w:t>veći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4E41">
        <w:rPr>
          <w:rFonts w:ascii="Times New Roman" w:hAnsi="Times New Roman"/>
          <w:sz w:val="24"/>
          <w:szCs w:val="24"/>
        </w:rPr>
        <w:t>su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4E41">
        <w:rPr>
          <w:rFonts w:ascii="Times New Roman" w:hAnsi="Times New Roman"/>
          <w:sz w:val="24"/>
          <w:szCs w:val="24"/>
        </w:rPr>
        <w:t>za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r w:rsidR="00CA0A0F">
        <w:rPr>
          <w:rFonts w:ascii="Times New Roman" w:hAnsi="Times New Roman"/>
          <w:sz w:val="24"/>
          <w:szCs w:val="24"/>
        </w:rPr>
        <w:t>40,5</w:t>
      </w:r>
      <w:r w:rsidRPr="009D4E41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9D4E41">
        <w:rPr>
          <w:rFonts w:ascii="Times New Roman" w:hAnsi="Times New Roman"/>
          <w:sz w:val="24"/>
          <w:szCs w:val="24"/>
        </w:rPr>
        <w:t>odnosu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na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isto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razdoblje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prethodne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godine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4E41">
        <w:rPr>
          <w:rFonts w:ascii="Times New Roman" w:hAnsi="Times New Roman"/>
          <w:sz w:val="24"/>
          <w:szCs w:val="24"/>
        </w:rPr>
        <w:t>odnose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D4E41">
        <w:rPr>
          <w:rFonts w:ascii="Times New Roman" w:hAnsi="Times New Roman"/>
          <w:sz w:val="24"/>
          <w:szCs w:val="24"/>
        </w:rPr>
        <w:t>na</w:t>
      </w:r>
      <w:proofErr w:type="spellEnd"/>
      <w:r w:rsidRPr="009D4E41">
        <w:rPr>
          <w:rFonts w:ascii="Times New Roman" w:hAnsi="Times New Roman"/>
          <w:sz w:val="24"/>
          <w:szCs w:val="24"/>
        </w:rPr>
        <w:t>:</w:t>
      </w: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AC4655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31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–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Rashodi za zaposlene bilježe porast za </w:t>
      </w:r>
      <w:r w:rsidR="00CA0A0F">
        <w:rPr>
          <w:rFonts w:ascii="Times New Roman" w:hAnsi="Times New Roman"/>
          <w:sz w:val="24"/>
          <w:szCs w:val="24"/>
          <w:lang w:val="hr-HR"/>
        </w:rPr>
        <w:t>33,80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% iz razloga što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su u 2023. 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su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bile zaposlene i </w:t>
      </w:r>
      <w:r w:rsidRPr="00AC4655">
        <w:rPr>
          <w:rFonts w:ascii="Times New Roman" w:hAnsi="Times New Roman"/>
          <w:sz w:val="24"/>
          <w:szCs w:val="24"/>
          <w:lang w:val="hr-HR"/>
        </w:rPr>
        <w:t>djelatnice projekta „Zaželi“ faza II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I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353344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3211</w:t>
      </w:r>
      <w:r w:rsidRPr="00AC4655">
        <w:rPr>
          <w:rFonts w:ascii="Times New Roman" w:hAnsi="Times New Roman"/>
          <w:sz w:val="24"/>
          <w:szCs w:val="24"/>
          <w:lang w:val="hr-HR"/>
        </w:rPr>
        <w:t>-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 smanjenje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rashoda za službena putovanja od </w:t>
      </w:r>
      <w:r w:rsidR="00CA0A0F">
        <w:rPr>
          <w:rFonts w:ascii="Times New Roman" w:hAnsi="Times New Roman"/>
          <w:sz w:val="24"/>
          <w:szCs w:val="24"/>
          <w:lang w:val="hr-HR"/>
        </w:rPr>
        <w:t>56,50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C4655">
        <w:rPr>
          <w:rFonts w:ascii="Times New Roman" w:hAnsi="Times New Roman"/>
          <w:sz w:val="24"/>
          <w:szCs w:val="24"/>
          <w:lang w:val="hr-HR"/>
        </w:rPr>
        <w:t>%  odnose se na službena putovanja i naknadu smještaja</w:t>
      </w:r>
    </w:p>
    <w:p w:rsidR="00353344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 xml:space="preserve">3212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– do povećanja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rashoda za naknadu za prijevoz od </w:t>
      </w:r>
      <w:r w:rsidR="00CA0A0F">
        <w:rPr>
          <w:rFonts w:ascii="Times New Roman" w:hAnsi="Times New Roman"/>
          <w:sz w:val="24"/>
          <w:szCs w:val="24"/>
          <w:lang w:val="hr-HR"/>
        </w:rPr>
        <w:t>67,70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 % u odnosu na 2022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. došlo je zbog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zaposlenja pročelnika kojem 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je isplaćivana naknada za prijevoz s posla i na posao.</w:t>
      </w:r>
    </w:p>
    <w:p w:rsidR="00353344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3213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– do smanjenja rashoda za stručno usavršavanje zaposlenika od </w:t>
      </w:r>
      <w:r w:rsidR="00CA0A0F">
        <w:rPr>
          <w:rFonts w:ascii="Times New Roman" w:hAnsi="Times New Roman"/>
          <w:sz w:val="24"/>
          <w:szCs w:val="24"/>
          <w:lang w:val="hr-HR"/>
        </w:rPr>
        <w:t>81,10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 % došlo je jer su u 2022</w:t>
      </w:r>
      <w:r w:rsidRPr="00AC4655">
        <w:rPr>
          <w:rFonts w:ascii="Times New Roman" w:hAnsi="Times New Roman"/>
          <w:sz w:val="24"/>
          <w:szCs w:val="24"/>
          <w:lang w:val="hr-HR"/>
        </w:rPr>
        <w:t>. bile zaposlene djelatnice u projektu „Zaželi“ faza II – koje su išle na osposobljavanje za računalnog operatera.</w:t>
      </w:r>
    </w:p>
    <w:p w:rsidR="00353344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3221</w:t>
      </w:r>
      <w:r w:rsidRPr="00AC4655">
        <w:rPr>
          <w:rFonts w:ascii="Times New Roman" w:hAnsi="Times New Roman"/>
          <w:sz w:val="24"/>
          <w:szCs w:val="24"/>
          <w:lang w:val="hr-HR"/>
        </w:rPr>
        <w:t>- do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 povećanja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rashoda uredskog materijala i ostalih materijalnih rashoda od </w:t>
      </w:r>
      <w:r w:rsidR="00CA0A0F">
        <w:rPr>
          <w:rFonts w:ascii="Times New Roman" w:hAnsi="Times New Roman"/>
          <w:sz w:val="24"/>
          <w:szCs w:val="24"/>
          <w:lang w:val="hr-HR"/>
        </w:rPr>
        <w:t>284,10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% došlo je zbog projekta Zaželi faza II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I</w:t>
      </w:r>
    </w:p>
    <w:p w:rsidR="00353344" w:rsidRPr="00296BB6" w:rsidRDefault="00353344" w:rsidP="00296BB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296BB6">
        <w:rPr>
          <w:rFonts w:ascii="Times New Roman" w:hAnsi="Times New Roman"/>
          <w:b/>
          <w:sz w:val="24"/>
          <w:szCs w:val="24"/>
          <w:lang w:val="hr-HR"/>
        </w:rPr>
        <w:t xml:space="preserve">3222 </w:t>
      </w:r>
      <w:r w:rsidRPr="00296BB6">
        <w:rPr>
          <w:rFonts w:ascii="Times New Roman" w:hAnsi="Times New Roman"/>
          <w:sz w:val="24"/>
          <w:szCs w:val="24"/>
          <w:lang w:val="hr-HR"/>
        </w:rPr>
        <w:t>– Rashod</w:t>
      </w:r>
      <w:r w:rsidR="00AC4655" w:rsidRPr="00296BB6">
        <w:rPr>
          <w:rFonts w:ascii="Times New Roman" w:hAnsi="Times New Roman"/>
          <w:sz w:val="24"/>
          <w:szCs w:val="24"/>
          <w:lang w:val="hr-HR"/>
        </w:rPr>
        <w:t>i za materijal i sirovine u 2023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. godini bilježe </w:t>
      </w:r>
      <w:r w:rsidR="00AC4655" w:rsidRPr="00296BB6">
        <w:rPr>
          <w:rFonts w:ascii="Times New Roman" w:hAnsi="Times New Roman"/>
          <w:sz w:val="24"/>
          <w:szCs w:val="24"/>
          <w:lang w:val="hr-HR"/>
        </w:rPr>
        <w:t>porast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od </w:t>
      </w:r>
      <w:r w:rsidR="00AC4655" w:rsidRPr="00296BB6">
        <w:rPr>
          <w:rFonts w:ascii="Times New Roman" w:hAnsi="Times New Roman"/>
          <w:sz w:val="24"/>
          <w:szCs w:val="24"/>
          <w:lang w:val="hr-HR"/>
        </w:rPr>
        <w:t>489,70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% i odnose se na</w:t>
      </w:r>
      <w:r w:rsidR="00AC4655" w:rsidRPr="00296BB6">
        <w:rPr>
          <w:rFonts w:ascii="Times New Roman" w:hAnsi="Times New Roman"/>
          <w:sz w:val="24"/>
          <w:szCs w:val="24"/>
          <w:lang w:val="hr-HR"/>
        </w:rPr>
        <w:t xml:space="preserve"> travnu smjesu za sadnju pokraj spomen područja minskoga polja i sadnica biljaka za uređenje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 xml:space="preserve">na području općine </w:t>
      </w:r>
      <w:proofErr w:type="spellStart"/>
      <w:r w:rsidR="00296BB6" w:rsidRPr="00296BB6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296BB6" w:rsidRPr="00296BB6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A37698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296BB6">
        <w:rPr>
          <w:rFonts w:ascii="Times New Roman" w:hAnsi="Times New Roman"/>
          <w:b/>
          <w:sz w:val="24"/>
          <w:szCs w:val="24"/>
          <w:lang w:val="hr-HR"/>
        </w:rPr>
        <w:t xml:space="preserve">3223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– rashodi za energiju u padu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su za </w:t>
      </w:r>
      <w:r w:rsidR="00CA0A0F">
        <w:rPr>
          <w:rFonts w:ascii="Times New Roman" w:hAnsi="Times New Roman"/>
          <w:sz w:val="24"/>
          <w:szCs w:val="24"/>
          <w:lang w:val="hr-HR"/>
        </w:rPr>
        <w:t>14,40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% zbog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uredbi Vlade RH</w:t>
      </w:r>
      <w:r w:rsidR="00296BB6">
        <w:rPr>
          <w:rFonts w:ascii="Times New Roman" w:hAnsi="Times New Roman"/>
          <w:color w:val="FF0000"/>
          <w:sz w:val="24"/>
          <w:szCs w:val="24"/>
          <w:lang w:val="hr-HR"/>
        </w:rPr>
        <w:t>.</w:t>
      </w:r>
    </w:p>
    <w:p w:rsidR="00353344" w:rsidRPr="00C978B4" w:rsidRDefault="00353344" w:rsidP="00C978B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296BB6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3224 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– do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povećanja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rashoda za materijal i dijelove za tekuće i investicijsko održavanje od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32,40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% došlo je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zbog većih kvarova i popravaka na radnim strojevima</w:t>
      </w:r>
      <w:r w:rsidR="00296BB6" w:rsidRPr="00296BB6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353344" w:rsidRPr="00A37698" w:rsidRDefault="00353344" w:rsidP="00C978B4">
      <w:pPr>
        <w:numPr>
          <w:ilvl w:val="0"/>
          <w:numId w:val="1"/>
        </w:numPr>
        <w:jc w:val="both"/>
        <w:rPr>
          <w:rFonts w:ascii="Times New Roman" w:hAnsi="Times New Roman"/>
          <w:bCs/>
          <w:color w:val="FF0000"/>
          <w:sz w:val="24"/>
          <w:szCs w:val="24"/>
          <w:lang w:val="hr-HR"/>
        </w:rPr>
      </w:pPr>
      <w:r w:rsidRPr="00C978B4">
        <w:rPr>
          <w:rFonts w:ascii="Times New Roman" w:hAnsi="Times New Roman"/>
          <w:b/>
          <w:bCs/>
          <w:sz w:val="24"/>
          <w:szCs w:val="24"/>
          <w:lang w:val="hr-HR"/>
        </w:rPr>
        <w:t>323 –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 xml:space="preserve"> Rashodi za usluge u porastu su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 xml:space="preserve"> za </w:t>
      </w:r>
      <w:r w:rsidR="00CA0A0F">
        <w:rPr>
          <w:rFonts w:ascii="Times New Roman" w:hAnsi="Times New Roman"/>
          <w:bCs/>
          <w:sz w:val="24"/>
          <w:szCs w:val="24"/>
          <w:lang w:val="hr-HR"/>
        </w:rPr>
        <w:t>25,3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>0 % u odnosu na 2022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>. godinu. Naj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>veće odstupanje jeste u 3233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 xml:space="preserve"> (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>usluge promidžbe i informiranja) koje su u porastu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 xml:space="preserve"> od </w:t>
      </w:r>
      <w:r w:rsidR="00CA0A0F">
        <w:rPr>
          <w:rFonts w:ascii="Times New Roman" w:hAnsi="Times New Roman"/>
          <w:bCs/>
          <w:sz w:val="24"/>
          <w:szCs w:val="24"/>
          <w:lang w:val="hr-HR"/>
        </w:rPr>
        <w:t>105,80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 xml:space="preserve"> % u odnosu na 2022. godinu jer je u 2023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>.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 xml:space="preserve"> održana radionica za edukaciju i izobrazbu stanovništva u</w:t>
      </w:r>
      <w:r w:rsidR="00C978B4">
        <w:rPr>
          <w:rFonts w:ascii="Times New Roman" w:hAnsi="Times New Roman"/>
          <w:bCs/>
          <w:sz w:val="24"/>
          <w:szCs w:val="24"/>
          <w:lang w:val="hr-HR"/>
        </w:rPr>
        <w:t xml:space="preserve"> području gospodarenja otpadom. 3236 rashodi (veterinarske i zdravstvene usluge) u padu su za 71,90 % jer su u 2022. djelatnice projekta Zaželi faza III bile na zdravstvenom pregledu.</w:t>
      </w:r>
    </w:p>
    <w:p w:rsidR="00A9705F" w:rsidRPr="00A9705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9705F">
        <w:rPr>
          <w:rFonts w:ascii="Times New Roman" w:hAnsi="Times New Roman"/>
          <w:b/>
          <w:bCs/>
          <w:sz w:val="24"/>
          <w:szCs w:val="24"/>
          <w:lang w:val="hr-HR"/>
        </w:rPr>
        <w:t>329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– ostali nespomenuti rashodi poslovanja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povećani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su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u odnosu na 2022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. godinu za </w:t>
      </w:r>
      <w:r w:rsidR="00CA0A0F">
        <w:rPr>
          <w:rFonts w:ascii="Times New Roman" w:hAnsi="Times New Roman"/>
          <w:bCs/>
          <w:sz w:val="24"/>
          <w:szCs w:val="24"/>
          <w:lang w:val="hr-HR"/>
        </w:rPr>
        <w:t>19,50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>%. Najveće odstupanje jeste u 3293 (repre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zentacija) čiji su rashodi veći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za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 xml:space="preserve">38,30 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%. Rashodi za pristojbe i naknade 3295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veći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su za </w:t>
      </w:r>
      <w:r w:rsidR="00CA0A0F">
        <w:rPr>
          <w:rFonts w:ascii="Times New Roman" w:hAnsi="Times New Roman"/>
          <w:bCs/>
          <w:sz w:val="24"/>
          <w:szCs w:val="24"/>
          <w:lang w:val="hr-HR"/>
        </w:rPr>
        <w:t>523,40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%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 xml:space="preserve">zbog ovjere ugovora kod bilježnika za poljoprivredna zemljišta. </w:t>
      </w:r>
    </w:p>
    <w:p w:rsidR="00353344" w:rsidRPr="00A9705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9705F">
        <w:rPr>
          <w:rFonts w:ascii="Times New Roman" w:hAnsi="Times New Roman"/>
          <w:b/>
          <w:bCs/>
          <w:sz w:val="24"/>
          <w:szCs w:val="24"/>
          <w:lang w:val="hr-HR"/>
        </w:rPr>
        <w:t>3523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– Subvencije poljoprivrednicima i obrtnicima isplaćeni su u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manjem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i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znosu u odnosu na prošlu godinu za 92,40 %.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</w:p>
    <w:p w:rsidR="00353344" w:rsidRPr="00A9705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9705F">
        <w:rPr>
          <w:rFonts w:ascii="Times New Roman" w:hAnsi="Times New Roman"/>
          <w:b/>
          <w:bCs/>
          <w:sz w:val="24"/>
          <w:szCs w:val="24"/>
          <w:lang w:val="hr-HR"/>
        </w:rPr>
        <w:t>3631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– Tekuće pomoći unutar općeg proračuna odnose se na sponzorstvo Općini </w:t>
      </w:r>
      <w:proofErr w:type="spellStart"/>
      <w:r w:rsidRPr="00A9705F">
        <w:rPr>
          <w:rFonts w:ascii="Times New Roman" w:hAnsi="Times New Roman"/>
          <w:bCs/>
          <w:sz w:val="24"/>
          <w:szCs w:val="24"/>
          <w:lang w:val="hr-HR"/>
        </w:rPr>
        <w:t>Tovarnik</w:t>
      </w:r>
      <w:proofErr w:type="spellEnd"/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za nagradu na Tovarničkom </w:t>
      </w:r>
      <w:proofErr w:type="spellStart"/>
      <w:r w:rsidRPr="00A9705F">
        <w:rPr>
          <w:rFonts w:ascii="Times New Roman" w:hAnsi="Times New Roman"/>
          <w:bCs/>
          <w:sz w:val="24"/>
          <w:szCs w:val="24"/>
          <w:lang w:val="hr-HR"/>
        </w:rPr>
        <w:t>jeseskom</w:t>
      </w:r>
      <w:proofErr w:type="spellEnd"/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festivalu.</w:t>
      </w:r>
    </w:p>
    <w:p w:rsidR="00A9705F" w:rsidRPr="00770695" w:rsidRDefault="00A9705F" w:rsidP="00770695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A3E72">
        <w:rPr>
          <w:rFonts w:ascii="Times New Roman" w:hAnsi="Times New Roman"/>
          <w:b/>
          <w:bCs/>
          <w:sz w:val="24"/>
          <w:szCs w:val="24"/>
          <w:lang w:val="hr-HR"/>
        </w:rPr>
        <w:t>3721</w:t>
      </w:r>
      <w:r w:rsidRPr="00770695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770695" w:rsidRPr="00770695">
        <w:rPr>
          <w:rFonts w:ascii="Times New Roman" w:hAnsi="Times New Roman"/>
          <w:bCs/>
          <w:sz w:val="24"/>
          <w:szCs w:val="24"/>
          <w:lang w:val="hr-HR"/>
        </w:rPr>
        <w:t>–</w:t>
      </w:r>
      <w:r w:rsidRPr="00770695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770695" w:rsidRPr="00770695">
        <w:rPr>
          <w:rFonts w:ascii="Times New Roman" w:hAnsi="Times New Roman"/>
          <w:bCs/>
          <w:sz w:val="24"/>
          <w:szCs w:val="24"/>
          <w:lang w:val="hr-HR"/>
        </w:rPr>
        <w:t xml:space="preserve">Naknade građanima i kućanstvima u novcu u porastu su za 59,50 % u odnosu na 2022. zbog pomoći kućanstvima za prirodnu nepogodu olujni i orkanski vjetar 07/23 u iznosu od 11.546,33 </w:t>
      </w:r>
      <w:proofErr w:type="spellStart"/>
      <w:r w:rsidR="00770695" w:rsidRPr="00770695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770695" w:rsidRPr="00770695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770695" w:rsidRPr="00770695" w:rsidRDefault="00353344" w:rsidP="00770695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770695">
        <w:rPr>
          <w:rFonts w:ascii="Times New Roman" w:hAnsi="Times New Roman"/>
          <w:b/>
          <w:bCs/>
          <w:sz w:val="24"/>
          <w:szCs w:val="24"/>
          <w:lang w:val="hr-HR"/>
        </w:rPr>
        <w:t xml:space="preserve">3821 </w:t>
      </w:r>
      <w:r w:rsidRPr="00770695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770695">
        <w:rPr>
          <w:rFonts w:ascii="Times New Roman" w:hAnsi="Times New Roman"/>
          <w:sz w:val="24"/>
          <w:szCs w:val="24"/>
          <w:lang w:val="hr-HR"/>
        </w:rPr>
        <w:t xml:space="preserve">Kapitalne donacije neprofitnim organizacijama doznačene su u iznosu od </w:t>
      </w:r>
      <w:r w:rsidR="00770695" w:rsidRPr="00770695">
        <w:rPr>
          <w:rFonts w:ascii="Times New Roman" w:hAnsi="Times New Roman"/>
          <w:sz w:val="24"/>
          <w:szCs w:val="24"/>
          <w:lang w:val="hr-HR"/>
        </w:rPr>
        <w:t xml:space="preserve">3.200,00 </w:t>
      </w:r>
      <w:proofErr w:type="spellStart"/>
      <w:r w:rsidR="00770695" w:rsidRPr="00770695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770695">
        <w:rPr>
          <w:rFonts w:ascii="Times New Roman" w:hAnsi="Times New Roman"/>
          <w:sz w:val="24"/>
          <w:szCs w:val="24"/>
          <w:lang w:val="hr-HR"/>
        </w:rPr>
        <w:t xml:space="preserve"> i odnose se na kapitalne potpore Župi </w:t>
      </w:r>
      <w:proofErr w:type="spellStart"/>
      <w:r w:rsidRPr="00770695">
        <w:rPr>
          <w:rFonts w:ascii="Times New Roman" w:hAnsi="Times New Roman"/>
          <w:sz w:val="24"/>
          <w:szCs w:val="24"/>
          <w:lang w:val="hr-HR"/>
        </w:rPr>
        <w:t>Sv.Mihaela</w:t>
      </w:r>
      <w:proofErr w:type="spellEnd"/>
      <w:r w:rsidRPr="00770695">
        <w:rPr>
          <w:rFonts w:ascii="Times New Roman" w:hAnsi="Times New Roman"/>
          <w:sz w:val="24"/>
          <w:szCs w:val="24"/>
          <w:lang w:val="hr-HR"/>
        </w:rPr>
        <w:t xml:space="preserve"> Arkanđela </w:t>
      </w:r>
      <w:proofErr w:type="spellStart"/>
      <w:r w:rsidRPr="00770695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77069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70695" w:rsidRPr="00770695">
        <w:rPr>
          <w:rFonts w:ascii="Times New Roman" w:hAnsi="Times New Roman"/>
          <w:sz w:val="24"/>
          <w:szCs w:val="24"/>
          <w:lang w:val="hr-HR"/>
        </w:rPr>
        <w:t xml:space="preserve"> za uređenje crkvenog dvorišta </w:t>
      </w:r>
    </w:p>
    <w:p w:rsidR="00770695" w:rsidRPr="00770695" w:rsidRDefault="00770695" w:rsidP="00770695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A3E72">
        <w:rPr>
          <w:rFonts w:ascii="Times New Roman" w:hAnsi="Times New Roman"/>
          <w:b/>
          <w:bCs/>
          <w:sz w:val="24"/>
          <w:szCs w:val="24"/>
          <w:lang w:val="hr-HR"/>
        </w:rPr>
        <w:t>3861</w:t>
      </w:r>
      <w:r w:rsidRPr="00770695">
        <w:rPr>
          <w:rFonts w:ascii="Times New Roman" w:hAnsi="Times New Roman"/>
          <w:bCs/>
          <w:sz w:val="24"/>
          <w:szCs w:val="24"/>
          <w:lang w:val="hr-HR"/>
        </w:rPr>
        <w:t xml:space="preserve">- Kapitalne pomoći trgovačkim društvima u javnom sektoru odnose se na prijenos vodovodne mreže Vodovodu grada Vukovara  </w:t>
      </w:r>
    </w:p>
    <w:p w:rsidR="00353344" w:rsidRPr="009D4E41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9D4E41">
        <w:rPr>
          <w:rFonts w:ascii="Times New Roman" w:hAnsi="Times New Roman"/>
          <w:b/>
          <w:bCs/>
          <w:sz w:val="24"/>
          <w:szCs w:val="24"/>
          <w:lang w:val="hr-HR"/>
        </w:rPr>
        <w:t xml:space="preserve">X001 </w:t>
      </w:r>
      <w:r w:rsidRPr="009D4E41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>tekućoj 2023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.  godini ostvaren je višak prihoda poslovanja u iznosu od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>132.</w:t>
      </w:r>
      <w:r w:rsidR="00CA0A0F">
        <w:rPr>
          <w:rFonts w:ascii="Times New Roman" w:hAnsi="Times New Roman"/>
          <w:sz w:val="24"/>
          <w:szCs w:val="24"/>
          <w:lang w:val="hr-HR"/>
        </w:rPr>
        <w:t>038,49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9D4E41" w:rsidRPr="009D4E41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9D4E41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D4E41">
        <w:rPr>
          <w:rFonts w:ascii="Times New Roman" w:hAnsi="Times New Roman"/>
          <w:b/>
          <w:sz w:val="24"/>
          <w:szCs w:val="24"/>
          <w:lang w:val="hr-HR"/>
        </w:rPr>
        <w:t>7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– Prihodi od prodaje nefinancijske imovine ostvareni su u iznosu od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118.636,30 </w:t>
      </w:r>
      <w:proofErr w:type="spellStart"/>
      <w:r w:rsidR="009D4E41" w:rsidRPr="009D4E41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 xml:space="preserve">, povećani su za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>562,10</w:t>
      </w:r>
      <w:r w:rsidRPr="009D4E41">
        <w:rPr>
          <w:rFonts w:ascii="Times New Roman" w:hAnsi="Times New Roman"/>
          <w:sz w:val="24"/>
          <w:szCs w:val="24"/>
          <w:lang w:val="hr-HR"/>
        </w:rPr>
        <w:t>% i odnose se na ostale nespomenute građevinske objekte, odnos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no na prodaju grobnica, prodaju </w:t>
      </w:r>
      <w:proofErr w:type="spellStart"/>
      <w:r w:rsidR="009D4E41" w:rsidRPr="009D4E41">
        <w:rPr>
          <w:rFonts w:ascii="Times New Roman" w:hAnsi="Times New Roman"/>
          <w:sz w:val="24"/>
          <w:szCs w:val="24"/>
          <w:lang w:val="hr-HR"/>
        </w:rPr>
        <w:t>zeljišta</w:t>
      </w:r>
      <w:proofErr w:type="spellEnd"/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 i vodovodne mreže</w:t>
      </w:r>
      <w:r w:rsidR="009D4E41">
        <w:rPr>
          <w:rFonts w:ascii="Times New Roman" w:hAnsi="Times New Roman"/>
          <w:sz w:val="24"/>
          <w:szCs w:val="24"/>
          <w:lang w:val="hr-HR"/>
        </w:rPr>
        <w:t>.</w:t>
      </w:r>
    </w:p>
    <w:p w:rsidR="009D4E41" w:rsidRPr="009D4E41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A37698">
        <w:rPr>
          <w:rFonts w:ascii="Times New Roman" w:hAnsi="Times New Roman"/>
          <w:b/>
          <w:color w:val="FF0000"/>
          <w:sz w:val="24"/>
          <w:szCs w:val="24"/>
          <w:lang w:val="hr-HR"/>
        </w:rPr>
        <w:t xml:space="preserve"> </w:t>
      </w:r>
      <w:r w:rsidRPr="009D4E41">
        <w:rPr>
          <w:rFonts w:ascii="Times New Roman" w:hAnsi="Times New Roman"/>
          <w:b/>
          <w:sz w:val="24"/>
          <w:szCs w:val="24"/>
          <w:lang w:val="hr-HR"/>
        </w:rPr>
        <w:t xml:space="preserve">4126- </w:t>
      </w:r>
      <w:r w:rsidRPr="009D4E41">
        <w:rPr>
          <w:rFonts w:ascii="Times New Roman" w:hAnsi="Times New Roman"/>
          <w:bCs/>
          <w:sz w:val="24"/>
          <w:szCs w:val="24"/>
          <w:lang w:val="hr-HR"/>
        </w:rPr>
        <w:t>Rashodi za ostalu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nematerijalnu imovinu ostvareni su u iznosu od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19.218,40 </w:t>
      </w:r>
      <w:proofErr w:type="spellStart"/>
      <w:r w:rsidR="009D4E41" w:rsidRPr="009D4E41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 i veći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su u odnosu na prethodnu godinu za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>87,20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%</w:t>
      </w:r>
    </w:p>
    <w:p w:rsidR="00AB093A" w:rsidRDefault="009D4E41" w:rsidP="00AB093A">
      <w:pPr>
        <w:ind w:left="643"/>
        <w:jc w:val="both"/>
        <w:rPr>
          <w:rFonts w:ascii="Times New Roman" w:hAnsi="Times New Roman"/>
          <w:sz w:val="24"/>
          <w:szCs w:val="24"/>
          <w:lang w:val="hr-HR"/>
        </w:rPr>
      </w:pPr>
      <w:r w:rsidRPr="00AB093A">
        <w:rPr>
          <w:rFonts w:ascii="Times New Roman" w:hAnsi="Times New Roman"/>
          <w:sz w:val="24"/>
          <w:szCs w:val="24"/>
          <w:lang w:val="hr-HR"/>
        </w:rPr>
        <w:t xml:space="preserve">Odnosi se na </w:t>
      </w:r>
      <w:r w:rsidRPr="009D4E41">
        <w:rPr>
          <w:rFonts w:ascii="Times New Roman" w:hAnsi="Times New Roman"/>
          <w:sz w:val="24"/>
          <w:szCs w:val="24"/>
          <w:lang w:val="hr-HR"/>
        </w:rPr>
        <w:t>glavni strojarski projekt energetske učinkovitosti implemen</w:t>
      </w:r>
      <w:r>
        <w:rPr>
          <w:rFonts w:ascii="Times New Roman" w:hAnsi="Times New Roman"/>
          <w:sz w:val="24"/>
          <w:szCs w:val="24"/>
          <w:lang w:val="hr-HR"/>
        </w:rPr>
        <w:t xml:space="preserve">tacije dizalice topline u zgradi dječjeg vrtića u općini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</w:t>
      </w:r>
      <w:r w:rsidRPr="009D4E41">
        <w:rPr>
          <w:rFonts w:ascii="Times New Roman" w:hAnsi="Times New Roman"/>
          <w:sz w:val="24"/>
          <w:szCs w:val="24"/>
          <w:lang w:val="hr-HR"/>
        </w:rPr>
        <w:t>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projektnu dokumentaciju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 xml:space="preserve"> 51/2022-projekt za rekonstrukciju građevine </w:t>
      </w:r>
      <w:proofErr w:type="spellStart"/>
      <w:r w:rsidRPr="009D4E41">
        <w:rPr>
          <w:rFonts w:ascii="Times New Roman" w:hAnsi="Times New Roman"/>
          <w:sz w:val="24"/>
          <w:szCs w:val="24"/>
          <w:lang w:val="hr-HR"/>
        </w:rPr>
        <w:t>gosp.namjene-mehaničarska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 xml:space="preserve"> radionica i prenamjena dijela prostora u spr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emište za smještaj mehanizacije u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ul.K.Tomislava,L</w:t>
      </w:r>
      <w:r w:rsidRPr="009D4E41">
        <w:rPr>
          <w:rFonts w:ascii="Times New Roman" w:hAnsi="Times New Roman"/>
          <w:sz w:val="24"/>
          <w:szCs w:val="24"/>
          <w:lang w:val="hr-HR"/>
        </w:rPr>
        <w:t>ovas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prometni elaborat,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>revizija cestovne s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igurnosti na prometni elaborat,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izrada energetskog certifikata za 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zgradu na nogometnom igralištu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Šnk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>izrada projektne dokumentacije-glavni projekt rekonstrukcije zgrade ja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vne namjene u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, k.č.br. 1571,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k.o.L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>ovas</w:t>
      </w:r>
      <w:proofErr w:type="spellEnd"/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 u svrhu energetske obnove i povećanja energetske učinkovitosti  izrada projektne dokumentacije-glavni proje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kt rekonstrukcije zgrade,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>akcijski plan energetski održivog razvitka i prilagodbe klimatskim promjen</w:t>
      </w:r>
      <w:r w:rsidR="00AB093A">
        <w:rPr>
          <w:rFonts w:ascii="Times New Roman" w:hAnsi="Times New Roman"/>
          <w:sz w:val="24"/>
          <w:szCs w:val="24"/>
          <w:lang w:val="hr-HR"/>
        </w:rPr>
        <w:t>ama (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secap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) za područje općine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izrada projektne dokumentacije </w:t>
      </w:r>
      <w:proofErr w:type="spellStart"/>
      <w:r w:rsidR="00AB093A" w:rsidRPr="009D4E41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 57/2023, </w:t>
      </w:r>
      <w:proofErr w:type="spellStart"/>
      <w:r w:rsidR="00AB093A" w:rsidRPr="009D4E41">
        <w:rPr>
          <w:rFonts w:ascii="Times New Roman" w:hAnsi="Times New Roman"/>
          <w:sz w:val="24"/>
          <w:szCs w:val="24"/>
          <w:lang w:val="hr-HR"/>
        </w:rPr>
        <w:t>projektanski</w:t>
      </w:r>
      <w:proofErr w:type="spellEnd"/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 troškovnik za rekonstrukciju </w:t>
      </w:r>
      <w:proofErr w:type="spellStart"/>
      <w:r w:rsidR="00AB093A" w:rsidRPr="009D4E41">
        <w:rPr>
          <w:rFonts w:ascii="Times New Roman" w:hAnsi="Times New Roman"/>
          <w:sz w:val="24"/>
          <w:szCs w:val="24"/>
          <w:lang w:val="hr-HR"/>
        </w:rPr>
        <w:t>kom.infras</w:t>
      </w:r>
      <w:proofErr w:type="spellEnd"/>
      <w:r w:rsidR="00AB093A" w:rsidRPr="009D4E41">
        <w:rPr>
          <w:rFonts w:ascii="Times New Roman" w:hAnsi="Times New Roman"/>
          <w:sz w:val="24"/>
          <w:szCs w:val="24"/>
          <w:lang w:val="hr-HR"/>
        </w:rPr>
        <w:t>.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na </w:t>
      </w:r>
      <w:proofErr w:type="spellStart"/>
      <w:r w:rsidR="00AB093A" w:rsidRPr="009D4E41">
        <w:rPr>
          <w:rFonts w:ascii="Times New Roman" w:hAnsi="Times New Roman"/>
          <w:sz w:val="24"/>
          <w:szCs w:val="24"/>
          <w:lang w:val="hr-HR"/>
        </w:rPr>
        <w:t>ri</w:t>
      </w:r>
      <w:r w:rsidR="00AB093A">
        <w:rPr>
          <w:rFonts w:ascii="Times New Roman" w:hAnsi="Times New Roman"/>
          <w:sz w:val="24"/>
          <w:szCs w:val="24"/>
          <w:lang w:val="hr-HR"/>
        </w:rPr>
        <w:t>mokataličkom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 groblju u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 i pravoslavnom groblju u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Opatovcu</w:t>
      </w:r>
      <w:proofErr w:type="spellEnd"/>
    </w:p>
    <w:p w:rsidR="00353344" w:rsidRPr="00AB093A" w:rsidRDefault="00AB093A" w:rsidP="00AB093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27. </w:t>
      </w:r>
      <w:r w:rsidR="00353344" w:rsidRPr="00AB093A">
        <w:rPr>
          <w:rFonts w:ascii="Times New Roman" w:hAnsi="Times New Roman"/>
          <w:b/>
          <w:sz w:val="24"/>
          <w:szCs w:val="24"/>
          <w:lang w:val="hr-HR"/>
        </w:rPr>
        <w:t>4221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 – U 2023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. godini ostvareni su rashodi u iznosu 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2.530,00 </w:t>
      </w:r>
      <w:proofErr w:type="spellStart"/>
      <w:r w:rsidRPr="00AB093A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za kupovinu </w:t>
      </w:r>
      <w:r w:rsidRPr="00AB093A">
        <w:rPr>
          <w:rFonts w:ascii="Times New Roman" w:hAnsi="Times New Roman"/>
          <w:sz w:val="24"/>
          <w:szCs w:val="24"/>
          <w:lang w:val="hr-HR"/>
        </w:rPr>
        <w:t>uređaja za uredsko poslovanje.</w:t>
      </w:r>
    </w:p>
    <w:p w:rsidR="00AB093A" w:rsidRPr="00AB093A" w:rsidRDefault="00AB093A" w:rsidP="00AB093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     </w:t>
      </w:r>
      <w:r w:rsidRPr="00EA3E72">
        <w:rPr>
          <w:rFonts w:ascii="Times New Roman" w:hAnsi="Times New Roman"/>
          <w:sz w:val="24"/>
          <w:szCs w:val="24"/>
          <w:lang w:val="hr-HR"/>
        </w:rPr>
        <w:t>28</w:t>
      </w: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353344" w:rsidRPr="00AB093A">
        <w:rPr>
          <w:rFonts w:ascii="Times New Roman" w:hAnsi="Times New Roman"/>
          <w:b/>
          <w:sz w:val="24"/>
          <w:szCs w:val="24"/>
          <w:lang w:val="hr-HR"/>
        </w:rPr>
        <w:t>4227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– Rashodi za uređaje, strojeve i opremu za ostale namjene ostvareni su u iznosu od 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3.487,50 </w:t>
      </w:r>
      <w:proofErr w:type="spellStart"/>
      <w:r w:rsidRPr="00AB093A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i bilježe pad od </w:t>
      </w:r>
      <w:r w:rsidRPr="00AB093A">
        <w:rPr>
          <w:rFonts w:ascii="Times New Roman" w:hAnsi="Times New Roman"/>
          <w:sz w:val="24"/>
          <w:szCs w:val="24"/>
          <w:lang w:val="hr-HR"/>
        </w:rPr>
        <w:t>76,40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% . Ostvareni </w:t>
      </w:r>
    </w:p>
    <w:p w:rsidR="00AB093A" w:rsidRPr="00AB093A" w:rsidRDefault="00AB093A" w:rsidP="00AB093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B093A"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su rashodi za </w:t>
      </w:r>
      <w:r w:rsidRPr="00AB093A">
        <w:rPr>
          <w:rFonts w:ascii="Times New Roman" w:hAnsi="Times New Roman"/>
          <w:sz w:val="24"/>
          <w:szCs w:val="24"/>
          <w:lang w:val="hr-HR"/>
        </w:rPr>
        <w:t>nabavku 2 uređaja za tretiranje komaraca.</w:t>
      </w:r>
    </w:p>
    <w:p w:rsidR="00353344" w:rsidRPr="00AB093A" w:rsidRDefault="00AB093A" w:rsidP="00AB093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      </w:t>
      </w:r>
      <w:r w:rsidRPr="00EA3E72">
        <w:rPr>
          <w:rFonts w:ascii="Times New Roman" w:hAnsi="Times New Roman"/>
          <w:sz w:val="24"/>
          <w:szCs w:val="24"/>
          <w:lang w:val="hr-HR"/>
        </w:rPr>
        <w:t>29</w:t>
      </w: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353344" w:rsidRPr="00AB093A">
        <w:rPr>
          <w:rFonts w:ascii="Times New Roman" w:hAnsi="Times New Roman"/>
          <w:b/>
          <w:sz w:val="24"/>
          <w:szCs w:val="24"/>
          <w:lang w:val="hr-HR"/>
        </w:rPr>
        <w:t>Y002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 – U 2023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. godini ostvaren je manjak prihoda od nefinancijske imovine u iznosu od 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234.595,85 </w:t>
      </w:r>
      <w:proofErr w:type="spellStart"/>
      <w:r w:rsidRPr="00AB093A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3344" w:rsidRPr="00AB093A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A37698" w:rsidRDefault="00AB093A" w:rsidP="00AB093A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/>
          <w:b/>
          <w:color w:val="FF0000"/>
          <w:sz w:val="24"/>
          <w:szCs w:val="24"/>
          <w:lang w:val="hr-HR"/>
        </w:rPr>
        <w:lastRenderedPageBreak/>
        <w:t xml:space="preserve">     </w:t>
      </w:r>
      <w:r w:rsidRPr="00EA3E72">
        <w:rPr>
          <w:rFonts w:ascii="Times New Roman" w:hAnsi="Times New Roman"/>
          <w:sz w:val="24"/>
          <w:szCs w:val="24"/>
          <w:lang w:val="hr-HR"/>
        </w:rPr>
        <w:t>30</w:t>
      </w: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353344" w:rsidRPr="00AB093A">
        <w:rPr>
          <w:rFonts w:ascii="Times New Roman" w:hAnsi="Times New Roman"/>
          <w:b/>
          <w:sz w:val="24"/>
          <w:szCs w:val="24"/>
          <w:lang w:val="hr-HR"/>
        </w:rPr>
        <w:t>8471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– Primljeni zajmovi od državnog proračuna ostvareni su u iznosu od 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11.438,18 </w:t>
      </w:r>
      <w:proofErr w:type="spellStart"/>
      <w:r w:rsidRPr="00AB093A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.      </w:t>
      </w:r>
    </w:p>
    <w:p w:rsidR="00353344" w:rsidRPr="00A37698" w:rsidRDefault="00353344" w:rsidP="00AB093A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A37698">
        <w:rPr>
          <w:rFonts w:ascii="Times New Roman" w:hAnsi="Times New Roman"/>
          <w:color w:val="FF0000"/>
          <w:sz w:val="24"/>
          <w:szCs w:val="24"/>
          <w:lang w:val="hr-HR"/>
        </w:rPr>
        <w:t>.</w:t>
      </w:r>
      <w:r w:rsidR="0075588D">
        <w:rPr>
          <w:rFonts w:ascii="Times New Roman" w:hAnsi="Times New Roman"/>
          <w:color w:val="FF0000"/>
          <w:sz w:val="24"/>
          <w:szCs w:val="24"/>
          <w:lang w:val="hr-HR"/>
        </w:rPr>
        <w:t xml:space="preserve">    </w:t>
      </w:r>
      <w:r w:rsidR="0075588D" w:rsidRPr="0075588D">
        <w:rPr>
          <w:rFonts w:ascii="Times New Roman" w:hAnsi="Times New Roman"/>
          <w:sz w:val="24"/>
          <w:szCs w:val="24"/>
          <w:lang w:val="hr-HR"/>
        </w:rPr>
        <w:t xml:space="preserve">31. </w:t>
      </w:r>
      <w:r w:rsidR="0075588D" w:rsidRPr="00EA3E72">
        <w:rPr>
          <w:rFonts w:ascii="Times New Roman" w:hAnsi="Times New Roman"/>
          <w:b/>
          <w:sz w:val="24"/>
          <w:szCs w:val="24"/>
          <w:lang w:val="hr-HR"/>
        </w:rPr>
        <w:t>5471</w:t>
      </w:r>
      <w:r w:rsidR="0075588D" w:rsidRPr="0075588D">
        <w:rPr>
          <w:rFonts w:ascii="Times New Roman" w:hAnsi="Times New Roman"/>
          <w:sz w:val="24"/>
          <w:szCs w:val="24"/>
          <w:lang w:val="hr-HR"/>
        </w:rPr>
        <w:t xml:space="preserve"> – Otplata glavnice primljenih zajmova od državnog proračuna ostvareni su u iznosu od 7.967,72 </w:t>
      </w:r>
      <w:proofErr w:type="spellStart"/>
      <w:r w:rsidR="0075588D" w:rsidRPr="0075588D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75588D" w:rsidRPr="0075588D">
        <w:rPr>
          <w:rFonts w:ascii="Times New Roman" w:hAnsi="Times New Roman"/>
          <w:sz w:val="24"/>
          <w:szCs w:val="24"/>
          <w:lang w:val="hr-HR"/>
        </w:rPr>
        <w:t>.</w:t>
      </w:r>
    </w:p>
    <w:p w:rsidR="0075588D" w:rsidRPr="0075588D" w:rsidRDefault="0075588D" w:rsidP="0075588D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</w:t>
      </w:r>
      <w:r w:rsidRPr="00EA3E72">
        <w:rPr>
          <w:rFonts w:ascii="Times New Roman" w:hAnsi="Times New Roman"/>
          <w:sz w:val="24"/>
          <w:szCs w:val="24"/>
          <w:lang w:val="hr-HR"/>
        </w:rPr>
        <w:t>32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353344" w:rsidRPr="0075588D">
        <w:rPr>
          <w:rFonts w:ascii="Times New Roman" w:hAnsi="Times New Roman"/>
          <w:b/>
          <w:sz w:val="24"/>
          <w:szCs w:val="24"/>
          <w:lang w:val="hr-HR"/>
        </w:rPr>
        <w:t xml:space="preserve">X003 – </w:t>
      </w:r>
      <w:proofErr w:type="spellStart"/>
      <w:r w:rsidR="00353344" w:rsidRPr="0075588D">
        <w:rPr>
          <w:rFonts w:ascii="Times New Roman" w:hAnsi="Times New Roman"/>
          <w:sz w:val="24"/>
          <w:szCs w:val="24"/>
          <w:lang w:val="hr-HR"/>
        </w:rPr>
        <w:t>Osvaren</w:t>
      </w:r>
      <w:proofErr w:type="spellEnd"/>
      <w:r w:rsidR="00353344" w:rsidRPr="0075588D">
        <w:rPr>
          <w:rFonts w:ascii="Times New Roman" w:hAnsi="Times New Roman"/>
          <w:sz w:val="24"/>
          <w:szCs w:val="24"/>
          <w:lang w:val="hr-HR"/>
        </w:rPr>
        <w:t xml:space="preserve"> je višak primitaka od financijske imovine u iznosu </w:t>
      </w:r>
      <w:r w:rsidRPr="0075588D">
        <w:rPr>
          <w:rFonts w:ascii="Times New Roman" w:hAnsi="Times New Roman"/>
          <w:sz w:val="24"/>
          <w:szCs w:val="24"/>
          <w:lang w:val="hr-HR"/>
        </w:rPr>
        <w:t xml:space="preserve">od 3.470,46 </w:t>
      </w:r>
      <w:proofErr w:type="spellStart"/>
      <w:r w:rsidRPr="0075588D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75588D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75588D" w:rsidRDefault="0075588D" w:rsidP="00353344">
      <w:pPr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  <w:r w:rsidRPr="0075588D">
        <w:rPr>
          <w:rFonts w:ascii="Times New Roman" w:hAnsi="Times New Roman"/>
          <w:b/>
          <w:sz w:val="24"/>
          <w:szCs w:val="24"/>
          <w:lang w:val="hr-HR"/>
        </w:rPr>
        <w:t xml:space="preserve">     </w:t>
      </w:r>
      <w:r w:rsidRPr="00EA3E72">
        <w:rPr>
          <w:rFonts w:ascii="Times New Roman" w:hAnsi="Times New Roman"/>
          <w:sz w:val="24"/>
          <w:szCs w:val="24"/>
          <w:lang w:val="hr-HR"/>
        </w:rPr>
        <w:t>33</w:t>
      </w:r>
      <w:r w:rsidRPr="0075588D">
        <w:rPr>
          <w:rFonts w:ascii="Times New Roman" w:hAnsi="Times New Roman"/>
          <w:b/>
          <w:sz w:val="24"/>
          <w:szCs w:val="24"/>
          <w:lang w:val="hr-HR"/>
        </w:rPr>
        <w:t>. Y</w:t>
      </w:r>
      <w:r w:rsidR="00353344" w:rsidRPr="0075588D">
        <w:rPr>
          <w:rFonts w:ascii="Times New Roman" w:hAnsi="Times New Roman"/>
          <w:b/>
          <w:sz w:val="24"/>
          <w:szCs w:val="24"/>
          <w:lang w:val="hr-HR"/>
        </w:rPr>
        <w:t xml:space="preserve">006 – </w:t>
      </w:r>
      <w:r w:rsidR="00353344" w:rsidRPr="0075588D">
        <w:rPr>
          <w:rFonts w:ascii="Times New Roman" w:hAnsi="Times New Roman"/>
          <w:sz w:val="24"/>
          <w:szCs w:val="24"/>
          <w:lang w:val="hr-HR"/>
        </w:rPr>
        <w:t xml:space="preserve">Ostvareni </w:t>
      </w:r>
      <w:r w:rsidRPr="0075588D">
        <w:rPr>
          <w:rFonts w:ascii="Times New Roman" w:hAnsi="Times New Roman"/>
          <w:sz w:val="24"/>
          <w:szCs w:val="24"/>
          <w:lang w:val="hr-HR"/>
        </w:rPr>
        <w:t>manjak</w:t>
      </w:r>
      <w:r w:rsidR="00353344" w:rsidRPr="0075588D">
        <w:rPr>
          <w:rFonts w:ascii="Times New Roman" w:hAnsi="Times New Roman"/>
          <w:sz w:val="24"/>
          <w:szCs w:val="24"/>
          <w:lang w:val="hr-HR"/>
        </w:rPr>
        <w:t xml:space="preserve"> prihoda i primitaka sa prenesenim viškom </w:t>
      </w:r>
      <w:r w:rsidRPr="0075588D">
        <w:rPr>
          <w:rFonts w:ascii="Times New Roman" w:hAnsi="Times New Roman"/>
          <w:sz w:val="24"/>
          <w:szCs w:val="24"/>
          <w:lang w:val="hr-HR"/>
        </w:rPr>
        <w:t xml:space="preserve">iz 2022. za pokriće u sljedećem razdoblju iznosi </w:t>
      </w:r>
      <w:r w:rsidR="00EF6396">
        <w:rPr>
          <w:rFonts w:ascii="Times New Roman" w:hAnsi="Times New Roman"/>
          <w:sz w:val="24"/>
          <w:szCs w:val="24"/>
          <w:lang w:val="hr-HR"/>
        </w:rPr>
        <w:t>16.498,56</w:t>
      </w:r>
      <w:r w:rsidRPr="0075588D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75588D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75588D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  <w:lang w:val="hr-HR"/>
        </w:rPr>
      </w:pPr>
    </w:p>
    <w:p w:rsidR="00353344" w:rsidRPr="0075588D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588D">
        <w:rPr>
          <w:rFonts w:ascii="Times New Roman" w:hAnsi="Times New Roman"/>
          <w:b/>
          <w:sz w:val="24"/>
          <w:szCs w:val="24"/>
          <w:lang w:val="hr-HR"/>
        </w:rPr>
        <w:t>BILJEŠKE UZ OBRAZAC BILANCA</w:t>
      </w: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353344" w:rsidRPr="0075588D" w:rsidRDefault="00353344" w:rsidP="00353344">
      <w:pPr>
        <w:pStyle w:val="Tijeloteksta2"/>
        <w:rPr>
          <w:sz w:val="24"/>
        </w:rPr>
      </w:pPr>
      <w:r w:rsidRPr="0075588D">
        <w:rPr>
          <w:sz w:val="24"/>
        </w:rPr>
        <w:t xml:space="preserve">1. </w:t>
      </w:r>
      <w:r w:rsidRPr="0075588D">
        <w:rPr>
          <w:b/>
          <w:sz w:val="24"/>
        </w:rPr>
        <w:t>129</w:t>
      </w:r>
      <w:r w:rsidRPr="0075588D">
        <w:rPr>
          <w:sz w:val="24"/>
        </w:rPr>
        <w:t xml:space="preserve"> – Ostala potraživanja odnose se na potraživanja od HZZO-a</w:t>
      </w:r>
      <w:r w:rsidR="0075588D" w:rsidRPr="0075588D">
        <w:rPr>
          <w:sz w:val="24"/>
        </w:rPr>
        <w:t xml:space="preserve"> za naknade koje se refundiraju i potraživanja za dane predujmove </w:t>
      </w:r>
      <w:r w:rsidR="00EF6396">
        <w:rPr>
          <w:sz w:val="24"/>
        </w:rPr>
        <w:t>2.308,83</w:t>
      </w:r>
      <w:r w:rsidR="0075588D" w:rsidRPr="0075588D">
        <w:rPr>
          <w:sz w:val="24"/>
        </w:rPr>
        <w:t xml:space="preserve"> </w:t>
      </w:r>
      <w:proofErr w:type="spellStart"/>
      <w:r w:rsidR="0075588D" w:rsidRPr="0075588D">
        <w:rPr>
          <w:sz w:val="24"/>
        </w:rPr>
        <w:t>eur</w:t>
      </w:r>
      <w:proofErr w:type="spellEnd"/>
      <w:r w:rsidR="0075588D" w:rsidRPr="0075588D">
        <w:rPr>
          <w:sz w:val="24"/>
        </w:rPr>
        <w:t>.</w:t>
      </w:r>
    </w:p>
    <w:p w:rsidR="00353344" w:rsidRPr="00EF6396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>2</w:t>
      </w:r>
      <w:r w:rsidRPr="00EF6396">
        <w:rPr>
          <w:color w:val="FF0000"/>
          <w:sz w:val="24"/>
        </w:rPr>
        <w:t xml:space="preserve">. </w:t>
      </w:r>
      <w:r w:rsidRPr="00EF6396">
        <w:rPr>
          <w:b/>
          <w:sz w:val="24"/>
        </w:rPr>
        <w:t>16</w:t>
      </w:r>
      <w:r w:rsidRPr="00EF6396">
        <w:rPr>
          <w:sz w:val="24"/>
        </w:rPr>
        <w:t xml:space="preserve"> – Potraživanja za prihode poslovanja odnose se na:</w:t>
      </w:r>
      <w:r w:rsidRPr="00EF6396">
        <w:rPr>
          <w:sz w:val="24"/>
        </w:rPr>
        <w:tab/>
      </w:r>
      <w:r w:rsidRPr="00EF6396">
        <w:rPr>
          <w:sz w:val="24"/>
        </w:rPr>
        <w:tab/>
      </w:r>
      <w:r w:rsidRPr="00EF6396">
        <w:rPr>
          <w:sz w:val="24"/>
        </w:rPr>
        <w:tab/>
      </w:r>
    </w:p>
    <w:p w:rsidR="00353344" w:rsidRPr="00EF6396" w:rsidRDefault="00353344" w:rsidP="00353344">
      <w:pPr>
        <w:pStyle w:val="Tijeloteksta2"/>
        <w:rPr>
          <w:sz w:val="24"/>
        </w:rPr>
      </w:pPr>
      <w:r w:rsidRPr="00EF6396">
        <w:rPr>
          <w:sz w:val="24"/>
        </w:rPr>
        <w:t xml:space="preserve">- potraživanje za prihode od imovine                                           </w:t>
      </w:r>
      <w:r w:rsidR="001E6588" w:rsidRPr="00EF6396">
        <w:rPr>
          <w:sz w:val="24"/>
        </w:rPr>
        <w:t xml:space="preserve">  </w:t>
      </w:r>
      <w:r w:rsidR="0075588D" w:rsidRPr="00EF6396">
        <w:rPr>
          <w:sz w:val="24"/>
        </w:rPr>
        <w:t xml:space="preserve">31.822,69 </w:t>
      </w:r>
      <w:proofErr w:type="spellStart"/>
      <w:r w:rsidR="0075588D" w:rsidRPr="00EF6396">
        <w:rPr>
          <w:sz w:val="24"/>
        </w:rPr>
        <w:t>eur</w:t>
      </w:r>
      <w:proofErr w:type="spellEnd"/>
    </w:p>
    <w:p w:rsidR="00353344" w:rsidRPr="00EF6396" w:rsidRDefault="00353344" w:rsidP="00353344">
      <w:pPr>
        <w:pStyle w:val="Tijeloteksta2"/>
        <w:rPr>
          <w:sz w:val="24"/>
        </w:rPr>
      </w:pPr>
      <w:r w:rsidRPr="00EF6396">
        <w:rPr>
          <w:sz w:val="24"/>
        </w:rPr>
        <w:t xml:space="preserve">- potraživanja za upravne i administrativne pristojbe </w:t>
      </w:r>
      <w:r w:rsidRPr="00EF6396">
        <w:rPr>
          <w:sz w:val="24"/>
        </w:rPr>
        <w:tab/>
        <w:t xml:space="preserve">        </w:t>
      </w:r>
      <w:r w:rsidR="0075588D" w:rsidRPr="00EF6396">
        <w:rPr>
          <w:sz w:val="24"/>
        </w:rPr>
        <w:t xml:space="preserve">114.375,69 </w:t>
      </w:r>
      <w:proofErr w:type="spellStart"/>
      <w:r w:rsidR="0075588D" w:rsidRPr="00EF6396">
        <w:rPr>
          <w:sz w:val="24"/>
        </w:rPr>
        <w:t>eur</w:t>
      </w:r>
      <w:proofErr w:type="spellEnd"/>
    </w:p>
    <w:p w:rsidR="00353344" w:rsidRPr="00EF6396" w:rsidRDefault="00353344" w:rsidP="00353344">
      <w:pPr>
        <w:pStyle w:val="Tijeloteksta2"/>
        <w:rPr>
          <w:sz w:val="24"/>
        </w:rPr>
      </w:pPr>
      <w:r w:rsidRPr="00EF6396">
        <w:rPr>
          <w:sz w:val="24"/>
        </w:rPr>
        <w:t xml:space="preserve">- potraživanja za kazne i upravne mjere, te ostale prihode            </w:t>
      </w:r>
      <w:r w:rsidR="001E6588" w:rsidRPr="00EF6396">
        <w:rPr>
          <w:sz w:val="24"/>
        </w:rPr>
        <w:t xml:space="preserve">  </w:t>
      </w:r>
      <w:r w:rsidRPr="00EF6396">
        <w:rPr>
          <w:sz w:val="24"/>
        </w:rPr>
        <w:t xml:space="preserve"> </w:t>
      </w:r>
      <w:r w:rsidR="001E6588" w:rsidRPr="00EF6396">
        <w:rPr>
          <w:sz w:val="24"/>
        </w:rPr>
        <w:t xml:space="preserve">8.679,30 </w:t>
      </w:r>
      <w:proofErr w:type="spellStart"/>
      <w:r w:rsidR="001E6588" w:rsidRPr="00EF6396">
        <w:rPr>
          <w:sz w:val="24"/>
        </w:rPr>
        <w:t>eur</w:t>
      </w:r>
      <w:proofErr w:type="spellEnd"/>
    </w:p>
    <w:p w:rsidR="00353344" w:rsidRPr="00EF6396" w:rsidRDefault="00353344" w:rsidP="00353344">
      <w:pPr>
        <w:pStyle w:val="Tijeloteksta2"/>
        <w:rPr>
          <w:sz w:val="24"/>
        </w:rPr>
      </w:pPr>
      <w:r w:rsidRPr="00EF6396">
        <w:rPr>
          <w:sz w:val="24"/>
        </w:rPr>
        <w:t xml:space="preserve">- 169- Ispravak vrijednosti potraživanja                                        </w:t>
      </w:r>
      <w:r w:rsidR="001E6588" w:rsidRPr="00EF6396">
        <w:rPr>
          <w:sz w:val="24"/>
        </w:rPr>
        <w:t xml:space="preserve">123.926,51 </w:t>
      </w:r>
      <w:proofErr w:type="spellStart"/>
      <w:r w:rsidR="001E6588" w:rsidRPr="00EF6396">
        <w:rPr>
          <w:sz w:val="24"/>
        </w:rPr>
        <w:t>eur</w:t>
      </w:r>
      <w:proofErr w:type="spellEnd"/>
    </w:p>
    <w:p w:rsidR="00353344" w:rsidRPr="00EF6396" w:rsidRDefault="00353344" w:rsidP="00353344">
      <w:pPr>
        <w:pStyle w:val="Tijeloteksta2"/>
        <w:rPr>
          <w:sz w:val="24"/>
        </w:rPr>
      </w:pPr>
      <w:r w:rsidRPr="00EF6396">
        <w:rPr>
          <w:sz w:val="24"/>
        </w:rPr>
        <w:t xml:space="preserve">3. </w:t>
      </w:r>
      <w:r w:rsidRPr="00EF6396">
        <w:rPr>
          <w:b/>
          <w:sz w:val="24"/>
        </w:rPr>
        <w:t>17</w:t>
      </w:r>
      <w:r w:rsidRPr="00EF6396">
        <w:rPr>
          <w:sz w:val="24"/>
        </w:rPr>
        <w:t xml:space="preserve"> – Potraživanja od prodaje nefinancijske imovine iznose         </w:t>
      </w:r>
      <w:r w:rsidR="001E6588" w:rsidRPr="00EF6396">
        <w:rPr>
          <w:sz w:val="24"/>
        </w:rPr>
        <w:t xml:space="preserve">3.397,37 </w:t>
      </w:r>
      <w:proofErr w:type="spellStart"/>
      <w:r w:rsidR="001E6588" w:rsidRPr="00EF6396">
        <w:rPr>
          <w:sz w:val="24"/>
        </w:rPr>
        <w:t>eur</w:t>
      </w:r>
      <w:proofErr w:type="spellEnd"/>
      <w:r w:rsidRPr="00EF6396">
        <w:rPr>
          <w:sz w:val="24"/>
        </w:rPr>
        <w:t xml:space="preserve">    </w:t>
      </w:r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4. </w:t>
      </w:r>
      <w:r w:rsidRPr="001E6588">
        <w:rPr>
          <w:b/>
          <w:sz w:val="24"/>
        </w:rPr>
        <w:t>2</w:t>
      </w:r>
      <w:r w:rsidRPr="001E6588">
        <w:rPr>
          <w:sz w:val="24"/>
        </w:rPr>
        <w:t xml:space="preserve"> – Obveze se odnose na:</w:t>
      </w:r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zaposlene                                                                     </w:t>
      </w:r>
      <w:r w:rsidR="001E6588">
        <w:rPr>
          <w:sz w:val="24"/>
        </w:rPr>
        <w:t xml:space="preserve"> </w:t>
      </w:r>
      <w:r w:rsidR="00EF6396">
        <w:rPr>
          <w:sz w:val="24"/>
        </w:rPr>
        <w:t>15.207,83</w:t>
      </w:r>
      <w:r w:rsidR="001E6588" w:rsidRPr="001E6588">
        <w:rPr>
          <w:sz w:val="24"/>
        </w:rPr>
        <w:t xml:space="preserve">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materijalne rashode                                                    </w:t>
      </w:r>
      <w:r w:rsidR="001E6588">
        <w:rPr>
          <w:sz w:val="24"/>
        </w:rPr>
        <w:t xml:space="preserve"> </w:t>
      </w:r>
      <w:r w:rsidR="00EF6396">
        <w:rPr>
          <w:sz w:val="24"/>
        </w:rPr>
        <w:t xml:space="preserve">  34.176,17</w:t>
      </w:r>
      <w:r w:rsidR="001E6588" w:rsidRPr="001E6588">
        <w:rPr>
          <w:sz w:val="24"/>
        </w:rPr>
        <w:t xml:space="preserve">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financijske rashode                                                       </w:t>
      </w:r>
      <w:r w:rsidR="001E6588">
        <w:rPr>
          <w:sz w:val="24"/>
        </w:rPr>
        <w:t xml:space="preserve">   </w:t>
      </w:r>
      <w:r w:rsidRPr="001E6588">
        <w:rPr>
          <w:sz w:val="24"/>
        </w:rPr>
        <w:t xml:space="preserve"> </w:t>
      </w:r>
      <w:r w:rsidR="001E6588" w:rsidRPr="001E6588">
        <w:rPr>
          <w:sz w:val="24"/>
        </w:rPr>
        <w:t xml:space="preserve">129,79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subvencije                                                                      </w:t>
      </w:r>
      <w:r w:rsidR="001E6588">
        <w:rPr>
          <w:sz w:val="24"/>
        </w:rPr>
        <w:t xml:space="preserve"> </w:t>
      </w:r>
      <w:r w:rsidRPr="001E6588">
        <w:rPr>
          <w:sz w:val="24"/>
        </w:rPr>
        <w:t xml:space="preserve"> </w:t>
      </w:r>
      <w:r w:rsidR="001E6588">
        <w:rPr>
          <w:sz w:val="24"/>
        </w:rPr>
        <w:t xml:space="preserve"> </w:t>
      </w:r>
      <w:r w:rsidR="001E6588" w:rsidRPr="001E6588">
        <w:rPr>
          <w:sz w:val="24"/>
        </w:rPr>
        <w:t xml:space="preserve">510,58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naknade građanima i kućanstvima                               </w:t>
      </w:r>
      <w:r w:rsidR="001E6588">
        <w:rPr>
          <w:sz w:val="24"/>
        </w:rPr>
        <w:t xml:space="preserve"> </w:t>
      </w:r>
      <w:r w:rsidRPr="001E6588">
        <w:rPr>
          <w:sz w:val="24"/>
        </w:rPr>
        <w:t xml:space="preserve"> </w:t>
      </w:r>
      <w:r w:rsidR="001E6588" w:rsidRPr="001E6588">
        <w:rPr>
          <w:sz w:val="24"/>
        </w:rPr>
        <w:t xml:space="preserve">2.524,48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kazne, naknade šteta i kapitalne pomoći                     </w:t>
      </w:r>
      <w:r w:rsidR="001E6588">
        <w:rPr>
          <w:sz w:val="24"/>
        </w:rPr>
        <w:t xml:space="preserve"> </w:t>
      </w:r>
      <w:r w:rsidRPr="001E6588">
        <w:rPr>
          <w:sz w:val="24"/>
        </w:rPr>
        <w:t xml:space="preserve"> </w:t>
      </w:r>
      <w:r w:rsidR="001E6588" w:rsidRPr="001E6588">
        <w:rPr>
          <w:sz w:val="24"/>
        </w:rPr>
        <w:t xml:space="preserve">2.680,48 </w:t>
      </w:r>
      <w:proofErr w:type="spellStart"/>
      <w:r w:rsidR="001E6588" w:rsidRPr="001E6588">
        <w:rPr>
          <w:sz w:val="24"/>
        </w:rPr>
        <w:t>eur</w:t>
      </w:r>
      <w:proofErr w:type="spellEnd"/>
      <w:r w:rsidRPr="001E6588">
        <w:rPr>
          <w:sz w:val="24"/>
        </w:rPr>
        <w:tab/>
      </w:r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 ostale tekuće obveze                                                                      </w:t>
      </w:r>
      <w:r w:rsidR="001E6588" w:rsidRPr="001E6588">
        <w:rPr>
          <w:sz w:val="24"/>
        </w:rPr>
        <w:t xml:space="preserve">1.540,13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1E6588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nabavu </w:t>
      </w:r>
      <w:proofErr w:type="spellStart"/>
      <w:r w:rsidRPr="001E6588">
        <w:rPr>
          <w:sz w:val="24"/>
        </w:rPr>
        <w:t>neproizvedene</w:t>
      </w:r>
      <w:proofErr w:type="spellEnd"/>
      <w:r w:rsidR="00353344" w:rsidRPr="001E6588">
        <w:rPr>
          <w:sz w:val="24"/>
        </w:rPr>
        <w:t xml:space="preserve"> imovine                                   </w:t>
      </w:r>
      <w:r>
        <w:rPr>
          <w:sz w:val="24"/>
        </w:rPr>
        <w:t xml:space="preserve"> </w:t>
      </w:r>
      <w:r w:rsidR="00353344" w:rsidRPr="001E6588">
        <w:rPr>
          <w:sz w:val="24"/>
        </w:rPr>
        <w:t xml:space="preserve"> </w:t>
      </w:r>
      <w:r w:rsidRPr="001E6588">
        <w:rPr>
          <w:sz w:val="24"/>
        </w:rPr>
        <w:t xml:space="preserve">3.723,11 </w:t>
      </w:r>
      <w:proofErr w:type="spellStart"/>
      <w:r w:rsidRPr="001E6588">
        <w:rPr>
          <w:sz w:val="24"/>
        </w:rPr>
        <w:t>eur</w:t>
      </w:r>
      <w:proofErr w:type="spellEnd"/>
    </w:p>
    <w:p w:rsidR="001E6588" w:rsidRPr="001E6588" w:rsidRDefault="001E6588" w:rsidP="00353344">
      <w:pPr>
        <w:pStyle w:val="Tijeloteksta2"/>
        <w:rPr>
          <w:sz w:val="24"/>
        </w:rPr>
      </w:pPr>
      <w:r w:rsidRPr="001E6588">
        <w:rPr>
          <w:sz w:val="24"/>
        </w:rPr>
        <w:t>- obveze za nabavu proizvedene dugotra</w:t>
      </w:r>
      <w:r>
        <w:rPr>
          <w:sz w:val="24"/>
        </w:rPr>
        <w:t xml:space="preserve">jne imovine                   </w:t>
      </w:r>
      <w:r w:rsidRPr="001E6588">
        <w:rPr>
          <w:sz w:val="24"/>
        </w:rPr>
        <w:t xml:space="preserve"> 51.163,63 </w:t>
      </w:r>
      <w:proofErr w:type="spellStart"/>
      <w:r w:rsidRPr="001E6588">
        <w:rPr>
          <w:sz w:val="24"/>
        </w:rPr>
        <w:t>eur</w:t>
      </w:r>
      <w:proofErr w:type="spellEnd"/>
    </w:p>
    <w:p w:rsidR="001E6588" w:rsidRPr="001E6588" w:rsidRDefault="001E6588" w:rsidP="00353344">
      <w:pPr>
        <w:pStyle w:val="Tijeloteksta2"/>
        <w:rPr>
          <w:sz w:val="24"/>
        </w:rPr>
      </w:pPr>
      <w:r w:rsidRPr="001E6588">
        <w:rPr>
          <w:sz w:val="24"/>
        </w:rPr>
        <w:t>- obveze za zajmove od drugih razina vlasti                                    11.</w:t>
      </w:r>
      <w:r w:rsidR="00EF6396">
        <w:rPr>
          <w:sz w:val="24"/>
        </w:rPr>
        <w:t>4</w:t>
      </w:r>
      <w:r w:rsidRPr="001E6588">
        <w:rPr>
          <w:sz w:val="24"/>
        </w:rPr>
        <w:t xml:space="preserve">38,17 </w:t>
      </w:r>
      <w:proofErr w:type="spellStart"/>
      <w:r w:rsidRPr="001E6588">
        <w:rPr>
          <w:sz w:val="24"/>
        </w:rPr>
        <w:t>eur</w:t>
      </w:r>
      <w:proofErr w:type="spellEnd"/>
    </w:p>
    <w:p w:rsidR="001E6588" w:rsidRPr="00A37698" w:rsidRDefault="001E6588" w:rsidP="00353344">
      <w:pPr>
        <w:pStyle w:val="Tijeloteksta2"/>
        <w:rPr>
          <w:color w:val="FF0000"/>
          <w:sz w:val="24"/>
        </w:rPr>
      </w:pPr>
    </w:p>
    <w:p w:rsidR="00353344" w:rsidRPr="001E6588" w:rsidRDefault="00353344" w:rsidP="00353344">
      <w:pPr>
        <w:pStyle w:val="Tijeloteksta2"/>
        <w:rPr>
          <w:sz w:val="24"/>
        </w:rPr>
      </w:pPr>
    </w:p>
    <w:p w:rsidR="00353344" w:rsidRPr="001E6588" w:rsidRDefault="001E6588" w:rsidP="00353344">
      <w:pPr>
        <w:pStyle w:val="Tijelotekst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588">
        <w:rPr>
          <w:rFonts w:ascii="Times New Roman" w:hAnsi="Times New Roman"/>
          <w:sz w:val="24"/>
          <w:szCs w:val="24"/>
        </w:rPr>
        <w:t>Manjak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prihoda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i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primitaka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588">
        <w:rPr>
          <w:rFonts w:ascii="Times New Roman" w:hAnsi="Times New Roman"/>
          <w:sz w:val="24"/>
          <w:szCs w:val="24"/>
        </w:rPr>
        <w:t>za</w:t>
      </w:r>
      <w:proofErr w:type="spellEnd"/>
      <w:r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588">
        <w:rPr>
          <w:rFonts w:ascii="Times New Roman" w:hAnsi="Times New Roman"/>
          <w:sz w:val="24"/>
          <w:szCs w:val="24"/>
        </w:rPr>
        <w:t>pokriće</w:t>
      </w:r>
      <w:proofErr w:type="spellEnd"/>
      <w:r w:rsidRPr="001E6588">
        <w:rPr>
          <w:rFonts w:ascii="Times New Roman" w:hAnsi="Times New Roman"/>
          <w:sz w:val="24"/>
          <w:szCs w:val="24"/>
        </w:rPr>
        <w:t xml:space="preserve"> </w:t>
      </w:r>
      <w:r w:rsidR="00353344" w:rsidRPr="001E6588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sljedećem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razdoblju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iznosi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r w:rsidR="00766D8A">
        <w:rPr>
          <w:rFonts w:ascii="Times New Roman" w:hAnsi="Times New Roman"/>
          <w:sz w:val="24"/>
          <w:szCs w:val="24"/>
        </w:rPr>
        <w:t>16.498,56</w:t>
      </w:r>
      <w:r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E6588">
        <w:rPr>
          <w:rFonts w:ascii="Times New Roman" w:hAnsi="Times New Roman"/>
          <w:sz w:val="24"/>
          <w:szCs w:val="24"/>
        </w:rPr>
        <w:t>eur</w:t>
      </w:r>
      <w:proofErr w:type="gramEnd"/>
      <w:r w:rsidR="00353344" w:rsidRPr="001E6588">
        <w:rPr>
          <w:rFonts w:ascii="Times New Roman" w:hAnsi="Times New Roman"/>
          <w:sz w:val="24"/>
          <w:szCs w:val="24"/>
        </w:rPr>
        <w:t>.</w:t>
      </w:r>
      <w:proofErr w:type="spellEnd"/>
    </w:p>
    <w:p w:rsidR="00353344" w:rsidRPr="00A37698" w:rsidRDefault="00353344" w:rsidP="00353344">
      <w:pPr>
        <w:pStyle w:val="Tijeloteksta2"/>
        <w:rPr>
          <w:color w:val="FF0000"/>
          <w:sz w:val="24"/>
        </w:rPr>
      </w:pPr>
    </w:p>
    <w:p w:rsidR="00353344" w:rsidRPr="00A37698" w:rsidRDefault="00353344" w:rsidP="00353344">
      <w:pPr>
        <w:pStyle w:val="Tijeloteksta2"/>
        <w:rPr>
          <w:color w:val="FF0000"/>
          <w:sz w:val="24"/>
        </w:rPr>
      </w:pPr>
    </w:p>
    <w:p w:rsidR="001E6588" w:rsidRDefault="001E6588" w:rsidP="00353344">
      <w:pPr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1E6588" w:rsidRDefault="001E6588" w:rsidP="00353344">
      <w:pPr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353344" w:rsidRPr="001E6588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1E6588">
        <w:rPr>
          <w:rFonts w:ascii="Times New Roman" w:hAnsi="Times New Roman"/>
          <w:b/>
          <w:sz w:val="24"/>
          <w:szCs w:val="24"/>
          <w:lang w:val="hr-HR"/>
        </w:rPr>
        <w:lastRenderedPageBreak/>
        <w:t>BILJEŠKE UZ OBRAZAC RASHODI PREMA FUNKCIJSKOJ KLASIFIKACIJI</w:t>
      </w: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1E6588" w:rsidRPr="002278A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 xml:space="preserve">1.  </w:t>
      </w:r>
      <w:r w:rsidR="001E6588" w:rsidRPr="002278A4">
        <w:rPr>
          <w:rFonts w:ascii="Times New Roman" w:hAnsi="Times New Roman"/>
          <w:b/>
          <w:sz w:val="24"/>
          <w:szCs w:val="24"/>
          <w:lang w:val="hr-HR"/>
        </w:rPr>
        <w:t xml:space="preserve">0133 </w:t>
      </w:r>
      <w:r w:rsidR="003E5738" w:rsidRPr="002278A4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="002278A4" w:rsidRPr="002278A4">
        <w:rPr>
          <w:rFonts w:ascii="Times New Roman" w:hAnsi="Times New Roman"/>
          <w:sz w:val="24"/>
          <w:szCs w:val="24"/>
          <w:lang w:val="hr-HR"/>
        </w:rPr>
        <w:t>povećanje rashoda za 61,30% odnosi se za povećanje usluga za tekuće investicijsko održavanje građevinskih objekata i nabavu uređaja za uredsko poslovanje.</w:t>
      </w:r>
    </w:p>
    <w:p w:rsidR="00353344" w:rsidRPr="002278A4" w:rsidRDefault="003E5738" w:rsidP="00353344">
      <w:pPr>
        <w:jc w:val="both"/>
        <w:rPr>
          <w:rFonts w:ascii="Times New Roman" w:hAnsi="Times New Roman"/>
          <w:sz w:val="24"/>
          <w:szCs w:val="24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>2</w:t>
      </w:r>
      <w:r w:rsidR="00353344" w:rsidRPr="002278A4">
        <w:rPr>
          <w:rFonts w:ascii="Times New Roman" w:hAnsi="Times New Roman"/>
          <w:b/>
          <w:sz w:val="24"/>
          <w:szCs w:val="24"/>
          <w:lang w:val="hr-HR"/>
        </w:rPr>
        <w:t>.  042</w:t>
      </w:r>
      <w:r w:rsidRPr="002278A4">
        <w:rPr>
          <w:rFonts w:ascii="Times New Roman" w:hAnsi="Times New Roman"/>
          <w:b/>
          <w:sz w:val="24"/>
          <w:szCs w:val="24"/>
          <w:lang w:val="hr-HR"/>
        </w:rPr>
        <w:t>1</w:t>
      </w:r>
      <w:r w:rsidR="00353344" w:rsidRPr="002278A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53344" w:rsidRPr="002278A4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2278A4">
        <w:rPr>
          <w:rFonts w:ascii="Times New Roman" w:hAnsi="Times New Roman"/>
          <w:sz w:val="24"/>
          <w:szCs w:val="24"/>
        </w:rPr>
        <w:t>smanjenja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rashoda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došlo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2278A4">
        <w:rPr>
          <w:rFonts w:ascii="Times New Roman" w:hAnsi="Times New Roman"/>
          <w:sz w:val="24"/>
          <w:szCs w:val="24"/>
        </w:rPr>
        <w:t>jer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je u 2022. </w:t>
      </w:r>
      <w:proofErr w:type="spellStart"/>
      <w:proofErr w:type="gramStart"/>
      <w:r w:rsidRPr="002278A4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kupljena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nekretnina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 </w:t>
      </w:r>
    </w:p>
    <w:p w:rsidR="00353344" w:rsidRPr="002278A4" w:rsidRDefault="003E5738" w:rsidP="00353344">
      <w:pPr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>3</w:t>
      </w:r>
      <w:r w:rsidR="00353344" w:rsidRPr="002278A4">
        <w:rPr>
          <w:rFonts w:ascii="Times New Roman" w:hAnsi="Times New Roman"/>
          <w:b/>
          <w:sz w:val="24"/>
          <w:szCs w:val="24"/>
          <w:lang w:val="hr-HR"/>
        </w:rPr>
        <w:t xml:space="preserve">.  102 </w:t>
      </w:r>
      <w:r w:rsidR="00353344" w:rsidRPr="002278A4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2278A4">
        <w:rPr>
          <w:rFonts w:ascii="Times New Roman" w:hAnsi="Times New Roman"/>
          <w:sz w:val="24"/>
          <w:szCs w:val="24"/>
        </w:rPr>
        <w:t>povećanja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rashoda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vezanih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za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starost</w:t>
      </w:r>
      <w:proofErr w:type="spellEnd"/>
      <w:r w:rsidR="002278A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8A4" w:rsidRPr="002278A4">
        <w:rPr>
          <w:rFonts w:ascii="Times New Roman" w:hAnsi="Times New Roman"/>
          <w:sz w:val="24"/>
          <w:szCs w:val="24"/>
        </w:rPr>
        <w:t>došlo</w:t>
      </w:r>
      <w:proofErr w:type="spellEnd"/>
      <w:r w:rsidR="002278A4" w:rsidRPr="002278A4">
        <w:rPr>
          <w:rFonts w:ascii="Times New Roman" w:hAnsi="Times New Roman"/>
          <w:sz w:val="24"/>
          <w:szCs w:val="24"/>
        </w:rPr>
        <w:t xml:space="preserve"> je s </w:t>
      </w:r>
      <w:proofErr w:type="spellStart"/>
      <w:r w:rsidR="002278A4" w:rsidRPr="002278A4">
        <w:rPr>
          <w:rFonts w:ascii="Times New Roman" w:hAnsi="Times New Roman"/>
          <w:sz w:val="24"/>
          <w:szCs w:val="24"/>
        </w:rPr>
        <w:t>obzirom</w:t>
      </w:r>
      <w:proofErr w:type="spellEnd"/>
      <w:r w:rsidR="002278A4" w:rsidRPr="002278A4">
        <w:rPr>
          <w:rFonts w:ascii="Times New Roman" w:hAnsi="Times New Roman"/>
          <w:sz w:val="24"/>
          <w:szCs w:val="24"/>
        </w:rPr>
        <w:t xml:space="preserve"> da se u 2023</w:t>
      </w:r>
      <w:r w:rsidR="00353344" w:rsidRPr="002278A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53344" w:rsidRPr="002278A4">
        <w:rPr>
          <w:rFonts w:ascii="Times New Roman" w:hAnsi="Times New Roman"/>
          <w:sz w:val="24"/>
          <w:szCs w:val="24"/>
        </w:rPr>
        <w:t>provodio</w:t>
      </w:r>
      <w:proofErr w:type="spellEnd"/>
      <w:proofErr w:type="gram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projekat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Zaželi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faza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II</w:t>
      </w:r>
      <w:r w:rsidR="002278A4" w:rsidRPr="002278A4">
        <w:rPr>
          <w:rFonts w:ascii="Times New Roman" w:hAnsi="Times New Roman"/>
          <w:sz w:val="24"/>
          <w:szCs w:val="24"/>
        </w:rPr>
        <w:t>I</w:t>
      </w:r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koji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je u 2022. </w:t>
      </w:r>
      <w:proofErr w:type="spellStart"/>
      <w:proofErr w:type="gramStart"/>
      <w:r w:rsidR="00353344" w:rsidRPr="002278A4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započeo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u 11/2022. </w:t>
      </w:r>
      <w:proofErr w:type="spellStart"/>
      <w:proofErr w:type="gramStart"/>
      <w:r w:rsidR="00353344" w:rsidRPr="002278A4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353344" w:rsidRPr="002278A4">
        <w:rPr>
          <w:rFonts w:ascii="Times New Roman" w:hAnsi="Times New Roman"/>
          <w:sz w:val="24"/>
          <w:szCs w:val="24"/>
        </w:rPr>
        <w:t>.</w:t>
      </w:r>
    </w:p>
    <w:p w:rsidR="00766D8A" w:rsidRPr="00766D8A" w:rsidRDefault="00766D8A" w:rsidP="00766D8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D8A">
        <w:rPr>
          <w:rFonts w:ascii="Times New Roman" w:hAnsi="Times New Roman"/>
          <w:sz w:val="24"/>
          <w:szCs w:val="24"/>
        </w:rPr>
        <w:t>Razvojna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agencija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TINTL je </w:t>
      </w:r>
      <w:proofErr w:type="spellStart"/>
      <w:r w:rsidRPr="00766D8A">
        <w:rPr>
          <w:rFonts w:ascii="Times New Roman" w:hAnsi="Times New Roman"/>
          <w:sz w:val="24"/>
          <w:szCs w:val="24"/>
        </w:rPr>
        <w:t>ostvarila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rashode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prema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funkcijskoj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klasifikaciji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kroz</w:t>
      </w:r>
      <w:proofErr w:type="spellEnd"/>
      <w:r w:rsidRPr="00766D8A">
        <w:rPr>
          <w:rFonts w:ascii="Times New Roman" w:hAnsi="Times New Roman"/>
          <w:sz w:val="24"/>
          <w:szCs w:val="24"/>
        </w:rPr>
        <w:t>:</w:t>
      </w:r>
    </w:p>
    <w:p w:rsidR="00766D8A" w:rsidRPr="00766D8A" w:rsidRDefault="00766D8A" w:rsidP="00766D8A">
      <w:pPr>
        <w:rPr>
          <w:rFonts w:ascii="Times New Roman" w:hAnsi="Times New Roman"/>
          <w:b/>
          <w:bCs/>
          <w:sz w:val="24"/>
          <w:szCs w:val="24"/>
        </w:rPr>
      </w:pPr>
      <w:r w:rsidRPr="00766D8A">
        <w:rPr>
          <w:rFonts w:ascii="Times New Roman" w:hAnsi="Times New Roman"/>
          <w:sz w:val="24"/>
          <w:szCs w:val="24"/>
        </w:rPr>
        <w:t>-</w:t>
      </w:r>
      <w:proofErr w:type="spellStart"/>
      <w:r w:rsidRPr="00766D8A">
        <w:rPr>
          <w:rFonts w:ascii="Times New Roman" w:hAnsi="Times New Roman"/>
          <w:sz w:val="24"/>
          <w:szCs w:val="24"/>
        </w:rPr>
        <w:t>ekonomski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poslovi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66D8A">
        <w:rPr>
          <w:rFonts w:ascii="Times New Roman" w:hAnsi="Times New Roman"/>
          <w:sz w:val="24"/>
          <w:szCs w:val="24"/>
        </w:rPr>
        <w:t>šifra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04) u </w:t>
      </w:r>
      <w:proofErr w:type="spellStart"/>
      <w:r w:rsidRPr="00766D8A">
        <w:rPr>
          <w:rFonts w:ascii="Times New Roman" w:hAnsi="Times New Roman"/>
          <w:sz w:val="24"/>
          <w:szCs w:val="24"/>
        </w:rPr>
        <w:t>iznosu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6D8A">
        <w:rPr>
          <w:rFonts w:ascii="Times New Roman" w:hAnsi="Times New Roman"/>
          <w:sz w:val="24"/>
          <w:szCs w:val="24"/>
        </w:rPr>
        <w:t>od</w:t>
      </w:r>
      <w:proofErr w:type="gramEnd"/>
      <w:r w:rsidRPr="00766D8A">
        <w:rPr>
          <w:rFonts w:ascii="Times New Roman" w:hAnsi="Times New Roman"/>
          <w:sz w:val="24"/>
          <w:szCs w:val="24"/>
        </w:rPr>
        <w:t xml:space="preserve"> 54.451,28</w:t>
      </w:r>
      <w:r w:rsidRPr="00766D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eura</w:t>
      </w:r>
      <w:proofErr w:type="spellEnd"/>
      <w:r w:rsidRPr="00766D8A">
        <w:rPr>
          <w:rFonts w:ascii="Times New Roman" w:hAnsi="Times New Roman"/>
          <w:sz w:val="24"/>
          <w:szCs w:val="24"/>
        </w:rPr>
        <w:t>,</w:t>
      </w: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  <w:lang w:val="hr-HR"/>
        </w:rPr>
      </w:pP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353344" w:rsidRPr="002278A4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>BILJEŠKE UZ OBRAZAC P-VRIO</w:t>
      </w:r>
    </w:p>
    <w:p w:rsidR="00353344" w:rsidRPr="002278A4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2278A4" w:rsidRDefault="002278A4" w:rsidP="00353344">
      <w:pPr>
        <w:jc w:val="both"/>
        <w:rPr>
          <w:rFonts w:ascii="Times New Roman" w:hAnsi="Times New Roman"/>
          <w:sz w:val="24"/>
          <w:szCs w:val="24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>1.  91511</w:t>
      </w:r>
      <w:r w:rsidR="00353344" w:rsidRPr="002278A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53344" w:rsidRPr="002278A4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Promjene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278A4">
        <w:rPr>
          <w:rFonts w:ascii="Times New Roman" w:hAnsi="Times New Roman"/>
          <w:sz w:val="24"/>
          <w:szCs w:val="24"/>
        </w:rPr>
        <w:t>vrijednosti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proizvedene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dugotrajne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imovine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obrascu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P-VRIO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odnose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na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dodjelu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računalne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opreme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od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Ministarstva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prostornog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uređenja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78A4">
        <w:rPr>
          <w:rFonts w:ascii="Times New Roman" w:hAnsi="Times New Roman"/>
          <w:sz w:val="24"/>
          <w:szCs w:val="24"/>
        </w:rPr>
        <w:t>graditeljstva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i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državne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imovine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kao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2278A4">
        <w:rPr>
          <w:rFonts w:ascii="Times New Roman" w:hAnsi="Times New Roman"/>
          <w:sz w:val="24"/>
          <w:szCs w:val="24"/>
        </w:rPr>
        <w:t>nasljeđivanje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kuće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u ½ </w:t>
      </w:r>
      <w:proofErr w:type="spellStart"/>
      <w:r w:rsidRPr="002278A4">
        <w:rPr>
          <w:rFonts w:ascii="Times New Roman" w:hAnsi="Times New Roman"/>
          <w:sz w:val="24"/>
          <w:szCs w:val="24"/>
        </w:rPr>
        <w:t>vlasništvo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Općine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Lovas</w:t>
      </w:r>
      <w:proofErr w:type="spellEnd"/>
      <w:r w:rsidRPr="002278A4">
        <w:rPr>
          <w:rFonts w:ascii="Times New Roman" w:hAnsi="Times New Roman"/>
          <w:sz w:val="24"/>
          <w:szCs w:val="24"/>
        </w:rPr>
        <w:t>.</w:t>
      </w:r>
    </w:p>
    <w:p w:rsidR="002278A4" w:rsidRPr="002278A4" w:rsidRDefault="002278A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2278A4" w:rsidRPr="002278A4" w:rsidRDefault="002278A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 xml:space="preserve">2. 91512 – </w:t>
      </w:r>
      <w:proofErr w:type="spellStart"/>
      <w:r w:rsidRPr="002278A4">
        <w:rPr>
          <w:rFonts w:ascii="Times New Roman" w:hAnsi="Times New Roman"/>
          <w:sz w:val="24"/>
          <w:szCs w:val="24"/>
        </w:rPr>
        <w:t>Promjene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278A4">
        <w:rPr>
          <w:rFonts w:ascii="Times New Roman" w:hAnsi="Times New Roman"/>
          <w:sz w:val="24"/>
          <w:szCs w:val="24"/>
        </w:rPr>
        <w:t>obujmu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neproizveden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dugotrajne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imovine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odnose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278A4">
        <w:rPr>
          <w:rFonts w:ascii="Times New Roman" w:hAnsi="Times New Roman"/>
          <w:sz w:val="24"/>
          <w:szCs w:val="24"/>
        </w:rPr>
        <w:t>na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prodaju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građevinskog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zemljišta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278A4">
        <w:rPr>
          <w:rFonts w:ascii="Times New Roman" w:hAnsi="Times New Roman"/>
          <w:sz w:val="24"/>
          <w:szCs w:val="24"/>
        </w:rPr>
        <w:t>poslovnoj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zoni</w:t>
      </w:r>
      <w:proofErr w:type="spellEnd"/>
      <w:r w:rsidRPr="002278A4">
        <w:rPr>
          <w:rFonts w:ascii="Times New Roman" w:hAnsi="Times New Roman"/>
          <w:sz w:val="24"/>
          <w:szCs w:val="24"/>
        </w:rPr>
        <w:t>.</w:t>
      </w: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766D8A" w:rsidRPr="00766D8A" w:rsidRDefault="00766D8A" w:rsidP="00766D8A">
      <w:pPr>
        <w:jc w:val="both"/>
        <w:rPr>
          <w:rFonts w:ascii="Times New Roman" w:hAnsi="Times New Roman"/>
          <w:sz w:val="24"/>
          <w:szCs w:val="24"/>
        </w:rPr>
      </w:pPr>
      <w:r w:rsidRPr="00766D8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66D8A">
        <w:rPr>
          <w:rFonts w:ascii="Times New Roman" w:hAnsi="Times New Roman"/>
          <w:sz w:val="24"/>
          <w:szCs w:val="24"/>
        </w:rPr>
        <w:t>Proračunski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korisnik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RA TINTL pod </w:t>
      </w:r>
      <w:proofErr w:type="spellStart"/>
      <w:r w:rsidRPr="00766D8A">
        <w:rPr>
          <w:rFonts w:ascii="Times New Roman" w:hAnsi="Times New Roman"/>
          <w:sz w:val="24"/>
          <w:szCs w:val="24"/>
        </w:rPr>
        <w:t>šifrom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P031 </w:t>
      </w:r>
      <w:proofErr w:type="spellStart"/>
      <w:r w:rsidRPr="00766D8A">
        <w:rPr>
          <w:rFonts w:ascii="Times New Roman" w:hAnsi="Times New Roman"/>
          <w:sz w:val="24"/>
          <w:szCs w:val="24"/>
        </w:rPr>
        <w:t>evidentirano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66D8A">
        <w:rPr>
          <w:rFonts w:ascii="Times New Roman" w:hAnsi="Times New Roman"/>
          <w:sz w:val="24"/>
          <w:szCs w:val="24"/>
        </w:rPr>
        <w:t>povećanje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obveze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za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rashode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D8A">
        <w:rPr>
          <w:rFonts w:ascii="Times New Roman" w:hAnsi="Times New Roman"/>
          <w:sz w:val="24"/>
          <w:szCs w:val="24"/>
        </w:rPr>
        <w:t>poslovanja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66D8A">
        <w:rPr>
          <w:rFonts w:ascii="Times New Roman" w:hAnsi="Times New Roman"/>
          <w:sz w:val="24"/>
          <w:szCs w:val="24"/>
        </w:rPr>
        <w:t>iznosu</w:t>
      </w:r>
      <w:proofErr w:type="spellEnd"/>
      <w:r w:rsidRPr="00766D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6D8A">
        <w:rPr>
          <w:rFonts w:ascii="Times New Roman" w:hAnsi="Times New Roman"/>
          <w:sz w:val="24"/>
          <w:szCs w:val="24"/>
        </w:rPr>
        <w:t>od</w:t>
      </w:r>
      <w:proofErr w:type="gramEnd"/>
      <w:r w:rsidRPr="00766D8A">
        <w:rPr>
          <w:rFonts w:ascii="Times New Roman" w:hAnsi="Times New Roman"/>
          <w:sz w:val="24"/>
          <w:szCs w:val="24"/>
        </w:rPr>
        <w:t xml:space="preserve"> 3.497,60 </w:t>
      </w:r>
      <w:proofErr w:type="spellStart"/>
      <w:r w:rsidRPr="00766D8A">
        <w:rPr>
          <w:rFonts w:ascii="Times New Roman" w:hAnsi="Times New Roman"/>
          <w:sz w:val="24"/>
          <w:szCs w:val="24"/>
        </w:rPr>
        <w:t>eura</w:t>
      </w:r>
      <w:proofErr w:type="spellEnd"/>
      <w:r w:rsidRPr="00766D8A">
        <w:rPr>
          <w:rFonts w:ascii="Times New Roman" w:hAnsi="Times New Roman"/>
          <w:sz w:val="24"/>
          <w:szCs w:val="24"/>
        </w:rPr>
        <w:t>.</w:t>
      </w: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6"/>
        <w:gridCol w:w="216"/>
        <w:gridCol w:w="2639"/>
        <w:gridCol w:w="701"/>
        <w:gridCol w:w="236"/>
        <w:gridCol w:w="1189"/>
        <w:gridCol w:w="831"/>
        <w:gridCol w:w="385"/>
        <w:gridCol w:w="804"/>
        <w:gridCol w:w="767"/>
        <w:gridCol w:w="449"/>
        <w:gridCol w:w="1226"/>
        <w:gridCol w:w="345"/>
        <w:gridCol w:w="1675"/>
        <w:gridCol w:w="1275"/>
      </w:tblGrid>
      <w:tr w:rsidR="00A37698" w:rsidRPr="00A37698" w:rsidTr="008455CF">
        <w:trPr>
          <w:trHeight w:val="300"/>
        </w:trPr>
        <w:tc>
          <w:tcPr>
            <w:tcW w:w="4812" w:type="dxa"/>
            <w:gridSpan w:val="4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OPĆINA LOVAS, ANTE STARČEVIĆA 5, 32 237 LOVAS</w:t>
            </w:r>
          </w:p>
        </w:tc>
        <w:tc>
          <w:tcPr>
            <w:tcW w:w="236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3295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1256" w:type="dxa"/>
            <w:noWrap/>
            <w:hideMark/>
          </w:tcPr>
          <w:p w:rsidR="00DA6545" w:rsidRPr="00A37698" w:rsidRDefault="00DA6545" w:rsidP="00DA6545">
            <w:pPr>
              <w:rPr>
                <w:rFonts w:asciiTheme="minorHAnsi" w:eastAsiaTheme="minorHAnsi" w:hAnsiTheme="minorHAnsi" w:cstheme="minorBidi"/>
                <w:color w:val="FF0000"/>
                <w:szCs w:val="22"/>
                <w:lang w:val="hr-HR" w:eastAsia="en-US"/>
              </w:rPr>
            </w:pPr>
          </w:p>
        </w:tc>
        <w:tc>
          <w:tcPr>
            <w:tcW w:w="2855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9473" w:type="dxa"/>
            <w:gridSpan w:val="11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EVIDENCIJA PRIMLJENIH  VRIJEDNOSNIH PAPIRA I DRUGIH FINANCI</w:t>
            </w:r>
            <w:r w:rsidR="000F336A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JSKIH INSTRUMENATA na 31.12.2023</w:t>
            </w:r>
            <w:r w:rsidRPr="00D67B51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.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1256" w:type="dxa"/>
            <w:noWrap/>
            <w:hideMark/>
          </w:tcPr>
          <w:p w:rsidR="00DA6545" w:rsidRPr="00A37698" w:rsidRDefault="00DA6545" w:rsidP="00DA6545">
            <w:pPr>
              <w:rPr>
                <w:rFonts w:asciiTheme="minorHAnsi" w:eastAsiaTheme="minorHAnsi" w:hAnsiTheme="minorHAnsi" w:cstheme="minorBidi"/>
                <w:color w:val="FF0000"/>
                <w:szCs w:val="22"/>
                <w:lang w:val="hr-HR" w:eastAsia="en-US"/>
              </w:rPr>
            </w:pPr>
          </w:p>
        </w:tc>
        <w:tc>
          <w:tcPr>
            <w:tcW w:w="2855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4111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PRIMLJENO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639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Datum</w:t>
            </w:r>
          </w:p>
        </w:tc>
        <w:tc>
          <w:tcPr>
            <w:tcW w:w="2639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Dokument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Izdatnik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Vjerovnik</w:t>
            </w: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Iznos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Osnova izdavanja</w:t>
            </w: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Svrha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Vrijedi do</w:t>
            </w:r>
          </w:p>
        </w:tc>
      </w:tr>
      <w:tr w:rsidR="00A37698" w:rsidRPr="00A37698" w:rsidTr="008455CF">
        <w:trPr>
          <w:trHeight w:val="66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27.07.2018.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OV-4354/2018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TRIKO d.o.o. ILOK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A37698" w:rsidRPr="00A37698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07.11.2018.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OV-8676/2018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IVAN VELERAJTER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A37698" w:rsidRPr="00A37698" w:rsidTr="008455CF">
        <w:trPr>
          <w:trHeight w:val="231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21.01.2019.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1904000520 Zagrebačka banka d.d.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PLANUM-GRAĐENJE D.O.O. Vukovar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48.632,07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OP 23/18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garantnom periodu na izvedenim radovima Energetske obnove zgrade dječjeg vrtića u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275" w:type="dxa"/>
            <w:noWrap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30.01.2023.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A37698" w:rsidRPr="00A37698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25.02.2019.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OV-860/2019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 Vukovar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koncesiji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</w:t>
            </w:r>
          </w:p>
        </w:tc>
        <w:tc>
          <w:tcPr>
            <w:tcW w:w="12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Do isteka ugovora o koncesiji</w:t>
            </w:r>
          </w:p>
        </w:tc>
      </w:tr>
      <w:tr w:rsidR="00A37698" w:rsidRPr="00A37698" w:rsidTr="008455CF">
        <w:trPr>
          <w:trHeight w:val="1035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28.05.2019.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br.8136003488, Agram banka d.d. Zagreb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OSIJEK-KOTEKS D.D. OSIJEK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91.436,84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18029-U/2018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garantni rok po projektu Asfaltiranje nerazvrstane ceste</w:t>
            </w:r>
          </w:p>
        </w:tc>
        <w:tc>
          <w:tcPr>
            <w:tcW w:w="1275" w:type="dxa"/>
            <w:noWrap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31.05.2021.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29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29.08.2019.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OV-4711/2019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WATMONT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19/19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uredno ispunjenje ugovora o izvođenju radova rekonstrukcije potpornog zida 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25.11.2019.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OV-8059/2019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Šalaj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Ružica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23.12.2019.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OV-8842/2019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Ruža Krizmanić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80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24.01.2020.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OV-359/2020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BALIĆ ELEKTRO Obrt,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održavanju javne rasvjete na području Općine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Instrument osiguranja pravovremenog i kontinuiranog obavljanja komunalne djelatnosti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Do isteka ugovora 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80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30.04.2020.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OV-3401/2020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EKO-DIM Dimnjačarsko-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usužni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obrt,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obavljanju dimnjačarskih poslova na području Općine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Instrument osiguranja pravovremenog i kontinuiranog obavljanja komunalne djelatnosti</w:t>
            </w:r>
          </w:p>
        </w:tc>
        <w:tc>
          <w:tcPr>
            <w:tcW w:w="12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Do isteka ugovora 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13.08.2020.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OV-4349/2020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CESTORAD d.d.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izgradnji nerazvrstane ceste  - groblje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Opatovac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II. faza, unutar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k.č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 688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dobro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275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21.08.2020.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OV-3281/2020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PZ LOVAS,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dodjeli sredstava u zadrugarstvu na području Općine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30.10.2020.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OV-5494/2020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ANJA ANTOLOVIĆ,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03.03.2021.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OV-5705/2018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WATMONT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rekonstrukciji pješačkih staza na području Općine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455CF">
        <w:trPr>
          <w:trHeight w:val="1275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29.03.2021.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OV-2077/2020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- Izgradnja rekreacijskog objekta, dječjeg igrališta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19.04.2021.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OV-2407/2021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CESTORAD d.d.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izgradnji nerazvrstanih cesta   unutar k.č.br.: 2735, 2764 i 2769 k.o.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02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29.10.2021.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OV-2178/2021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GRADEKO d.o.o. Zagreb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opreme za razvrstavanje otpada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02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29.10.2021.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OV-2179/2021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GRADEKO d.o.o. Zagreb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opreme za razvrstavanje otpada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OV-7603/2021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PERO SABLJAK,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OV-7524/2021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TOMISLAV VIDIĆ,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Za dobro izvršenje </w:t>
            </w: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OV-7549/2021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VLATKO PALIJAN,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15.11.2021.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OV-6370/2021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NIVES HORVAT,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Opatovac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OV-7744/2021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MIRJANA MARTINOVIĆ,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vraćeno 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OV-4514/2021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A6545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OV-4515/2021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A6545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OV-3166/2021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A6545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15.06.2022.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5402298037 ERSTE&amp;STEIERMARKISCHE BANK DD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D.O.O. Vukovar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239.980,12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radova za predmet nabave Izgradnja Spomen područja Minsko polje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Garancija za uredno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izvršenej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23.01.2023.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A6545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07.07.2022.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OV-3273/2022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DAFRA TRADE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j.d.o.o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jednostavnoj nabavi- rekonstrukcija Doma kulture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Opatovcu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0F336A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04.11.2022.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OV-6980/2022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Jasna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Pavličić</w:t>
            </w:r>
            <w:proofErr w:type="spellEnd"/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0F336A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9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04.11.2022.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OV-6408/2022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Marija Pole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0F336A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03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03.11.2022.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OV-6383/2022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Mato Ivančić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0F336A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9A2F83" w:rsidRPr="00DA6545" w:rsidTr="009A2F83">
        <w:trPr>
          <w:trHeight w:val="908"/>
        </w:trPr>
        <w:tc>
          <w:tcPr>
            <w:tcW w:w="1472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11.09.2023.</w:t>
            </w:r>
          </w:p>
        </w:tc>
        <w:tc>
          <w:tcPr>
            <w:tcW w:w="2639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OV-6230/2023</w:t>
            </w:r>
          </w:p>
        </w:tc>
        <w:tc>
          <w:tcPr>
            <w:tcW w:w="701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</w:t>
            </w:r>
            <w:proofErr w:type="spellEnd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d.o.o.</w:t>
            </w:r>
          </w:p>
        </w:tc>
        <w:tc>
          <w:tcPr>
            <w:tcW w:w="1189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10.000,00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jednostavnoj nabavi-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21/23</w:t>
            </w:r>
          </w:p>
        </w:tc>
        <w:tc>
          <w:tcPr>
            <w:tcW w:w="1675" w:type="dxa"/>
          </w:tcPr>
          <w:p w:rsidR="009A2F83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</w:tcPr>
          <w:p w:rsidR="008327BC" w:rsidRDefault="008327BC" w:rsidP="008327B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9A2F83" w:rsidRPr="00DA6545" w:rsidTr="008455CF">
        <w:trPr>
          <w:trHeight w:val="1035"/>
        </w:trPr>
        <w:tc>
          <w:tcPr>
            <w:tcW w:w="1472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20.09.2023.</w:t>
            </w:r>
          </w:p>
        </w:tc>
        <w:tc>
          <w:tcPr>
            <w:tcW w:w="2639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OV-6347/2023</w:t>
            </w:r>
          </w:p>
        </w:tc>
        <w:tc>
          <w:tcPr>
            <w:tcW w:w="701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3D Gradnja d.o.o.</w:t>
            </w:r>
          </w:p>
        </w:tc>
        <w:tc>
          <w:tcPr>
            <w:tcW w:w="1189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2.000,00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jednostavnoj nabavi-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15/23</w:t>
            </w:r>
          </w:p>
        </w:tc>
        <w:tc>
          <w:tcPr>
            <w:tcW w:w="1675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otklanjanje nedostataka u jamstvenom roku</w:t>
            </w:r>
          </w:p>
        </w:tc>
        <w:tc>
          <w:tcPr>
            <w:tcW w:w="1275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8327BC" w:rsidRPr="00DA6545" w:rsidTr="008455CF">
        <w:trPr>
          <w:trHeight w:val="1035"/>
        </w:trPr>
        <w:tc>
          <w:tcPr>
            <w:tcW w:w="1472" w:type="dxa"/>
            <w:gridSpan w:val="2"/>
          </w:tcPr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03.11.2023.</w:t>
            </w:r>
          </w:p>
        </w:tc>
        <w:tc>
          <w:tcPr>
            <w:tcW w:w="2639" w:type="dxa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5402386700</w:t>
            </w:r>
          </w:p>
        </w:tc>
        <w:tc>
          <w:tcPr>
            <w:tcW w:w="701" w:type="dxa"/>
          </w:tcPr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d.o.o.</w:t>
            </w:r>
          </w:p>
        </w:tc>
        <w:tc>
          <w:tcPr>
            <w:tcW w:w="1189" w:type="dxa"/>
            <w:gridSpan w:val="2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35.268,15</w:t>
            </w:r>
          </w:p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eut</w:t>
            </w:r>
            <w:proofErr w:type="spellEnd"/>
          </w:p>
        </w:tc>
        <w:tc>
          <w:tcPr>
            <w:tcW w:w="1571" w:type="dxa"/>
            <w:gridSpan w:val="2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radova za predmet nabave Izgradnja Spomen područja Minsko polje</w:t>
            </w:r>
          </w:p>
        </w:tc>
        <w:tc>
          <w:tcPr>
            <w:tcW w:w="1675" w:type="dxa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nedostatakau</w:t>
            </w:r>
            <w:proofErr w:type="spellEnd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jamstvenom roku (spomen područje minsko polje)</w:t>
            </w:r>
          </w:p>
        </w:tc>
        <w:tc>
          <w:tcPr>
            <w:tcW w:w="1275" w:type="dxa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17.11.2026.</w:t>
            </w: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01.12.2023.</w:t>
            </w:r>
          </w:p>
        </w:tc>
        <w:tc>
          <w:tcPr>
            <w:tcW w:w="2639" w:type="dxa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OV-6381/2023</w:t>
            </w:r>
          </w:p>
        </w:tc>
        <w:tc>
          <w:tcPr>
            <w:tcW w:w="701" w:type="dxa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Lana Balić</w:t>
            </w:r>
          </w:p>
        </w:tc>
        <w:tc>
          <w:tcPr>
            <w:tcW w:w="1189" w:type="dxa"/>
            <w:gridSpan w:val="2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0F336A" w:rsidRPr="00DA6545" w:rsidTr="008455CF">
        <w:trPr>
          <w:trHeight w:val="1035"/>
        </w:trPr>
        <w:tc>
          <w:tcPr>
            <w:tcW w:w="1472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05.12.2023.</w:t>
            </w:r>
          </w:p>
        </w:tc>
        <w:tc>
          <w:tcPr>
            <w:tcW w:w="2639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OV-8636/2023</w:t>
            </w:r>
          </w:p>
        </w:tc>
        <w:tc>
          <w:tcPr>
            <w:tcW w:w="701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Sandra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Pap</w:t>
            </w:r>
            <w:proofErr w:type="spellEnd"/>
          </w:p>
        </w:tc>
        <w:tc>
          <w:tcPr>
            <w:tcW w:w="1189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0F336A" w:rsidRPr="00DA6545" w:rsidTr="008455CF">
        <w:trPr>
          <w:trHeight w:val="1035"/>
        </w:trPr>
        <w:tc>
          <w:tcPr>
            <w:tcW w:w="1472" w:type="dxa"/>
            <w:gridSpan w:val="2"/>
          </w:tcPr>
          <w:p w:rsidR="000F336A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05</w:t>
            </w:r>
            <w:r w:rsidR="000F336A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.12.2023.</w:t>
            </w:r>
          </w:p>
        </w:tc>
        <w:tc>
          <w:tcPr>
            <w:tcW w:w="2639" w:type="dxa"/>
          </w:tcPr>
          <w:p w:rsidR="000F336A" w:rsidRPr="00DA6545" w:rsidRDefault="000F336A" w:rsidP="000F336A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OV-8649/2023</w:t>
            </w:r>
          </w:p>
        </w:tc>
        <w:tc>
          <w:tcPr>
            <w:tcW w:w="701" w:type="dxa"/>
          </w:tcPr>
          <w:p w:rsidR="000F336A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0F336A" w:rsidRPr="00AA06FC" w:rsidRDefault="000F336A" w:rsidP="00DA6545">
            <w:pPr>
              <w:rPr>
                <w:rFonts w:asciiTheme="minorHAnsi" w:eastAsiaTheme="minorHAnsi" w:hAnsiTheme="minorHAnsi" w:cstheme="minorBidi"/>
                <w:color w:val="FF0000"/>
                <w:szCs w:val="22"/>
                <w:lang w:val="hr-HR" w:eastAsia="en-US"/>
              </w:rPr>
            </w:pPr>
            <w:r w:rsidRPr="00C73AFC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Pero Sabljak</w:t>
            </w:r>
          </w:p>
        </w:tc>
        <w:tc>
          <w:tcPr>
            <w:tcW w:w="1189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0F336A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05.12.2023.</w:t>
            </w:r>
          </w:p>
        </w:tc>
        <w:tc>
          <w:tcPr>
            <w:tcW w:w="2639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OV-3870/2023</w:t>
            </w:r>
          </w:p>
        </w:tc>
        <w:tc>
          <w:tcPr>
            <w:tcW w:w="701" w:type="dxa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Marinela Filić</w:t>
            </w:r>
          </w:p>
        </w:tc>
        <w:tc>
          <w:tcPr>
            <w:tcW w:w="1189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05.12.2023.</w:t>
            </w:r>
          </w:p>
        </w:tc>
        <w:tc>
          <w:tcPr>
            <w:tcW w:w="2639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OV-5841/2023</w:t>
            </w:r>
          </w:p>
        </w:tc>
        <w:tc>
          <w:tcPr>
            <w:tcW w:w="701" w:type="dxa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Mihael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Pavličić</w:t>
            </w:r>
            <w:proofErr w:type="spellEnd"/>
          </w:p>
        </w:tc>
        <w:tc>
          <w:tcPr>
            <w:tcW w:w="1189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07.12.2023.</w:t>
            </w:r>
          </w:p>
        </w:tc>
        <w:tc>
          <w:tcPr>
            <w:tcW w:w="2639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OV-8757/2023</w:t>
            </w:r>
          </w:p>
        </w:tc>
        <w:tc>
          <w:tcPr>
            <w:tcW w:w="701" w:type="dxa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Vlatko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Palijan</w:t>
            </w:r>
            <w:proofErr w:type="spellEnd"/>
          </w:p>
        </w:tc>
        <w:tc>
          <w:tcPr>
            <w:tcW w:w="1189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08.12.2023.</w:t>
            </w:r>
          </w:p>
        </w:tc>
        <w:tc>
          <w:tcPr>
            <w:tcW w:w="2639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OV-14734/2023</w:t>
            </w:r>
          </w:p>
        </w:tc>
        <w:tc>
          <w:tcPr>
            <w:tcW w:w="701" w:type="dxa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Ivana Cvitković</w:t>
            </w:r>
          </w:p>
        </w:tc>
        <w:tc>
          <w:tcPr>
            <w:tcW w:w="1189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</w:tbl>
    <w:p w:rsidR="00766D8A" w:rsidRDefault="00766D8A" w:rsidP="00766D8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66D8A" w:rsidRPr="00DA5D50" w:rsidRDefault="00766D8A" w:rsidP="00766D8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A5D50">
        <w:rPr>
          <w:rFonts w:ascii="Times New Roman" w:hAnsi="Times New Roman"/>
          <w:sz w:val="24"/>
          <w:szCs w:val="24"/>
          <w:lang w:val="hr-HR"/>
        </w:rPr>
        <w:t xml:space="preserve">Razvojan agencija TINTL </w:t>
      </w:r>
      <w:r>
        <w:rPr>
          <w:rFonts w:ascii="Times New Roman" w:hAnsi="Times New Roman"/>
          <w:sz w:val="24"/>
          <w:szCs w:val="24"/>
          <w:lang w:val="hr-HR"/>
        </w:rPr>
        <w:t>kao proračun</w:t>
      </w:r>
      <w:r>
        <w:rPr>
          <w:rFonts w:ascii="Times New Roman" w:hAnsi="Times New Roman"/>
          <w:sz w:val="24"/>
          <w:szCs w:val="24"/>
          <w:lang w:val="hr-HR"/>
        </w:rPr>
        <w:t xml:space="preserve">ski korisnik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u 2023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DA5D50">
        <w:rPr>
          <w:rFonts w:ascii="Times New Roman" w:hAnsi="Times New Roman"/>
          <w:sz w:val="24"/>
          <w:szCs w:val="24"/>
          <w:lang w:val="hr-HR"/>
        </w:rPr>
        <w:t>godini nije nikome davala, niti primala kredite, zajmove, niti je</w:t>
      </w:r>
    </w:p>
    <w:p w:rsidR="00766D8A" w:rsidRDefault="00766D8A" w:rsidP="00766D8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A5D50">
        <w:rPr>
          <w:rFonts w:ascii="Times New Roman" w:hAnsi="Times New Roman"/>
          <w:sz w:val="24"/>
          <w:szCs w:val="24"/>
          <w:lang w:val="hr-HR"/>
        </w:rPr>
        <w:t>primala robne zajmove i financijske najmove.</w:t>
      </w:r>
    </w:p>
    <w:p w:rsidR="00766D8A" w:rsidRDefault="00766D8A" w:rsidP="00766D8A">
      <w:pPr>
        <w:rPr>
          <w:rFonts w:ascii="Times New Roman" w:hAnsi="Times New Roman"/>
          <w:b/>
          <w:sz w:val="24"/>
          <w:szCs w:val="24"/>
        </w:rPr>
      </w:pPr>
    </w:p>
    <w:p w:rsidR="00DA6545" w:rsidRPr="00DA6545" w:rsidRDefault="00DA6545" w:rsidP="00DA6545">
      <w:pPr>
        <w:spacing w:after="160" w:line="259" w:lineRule="auto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766D8A" w:rsidRDefault="00766D8A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lastRenderedPageBreak/>
        <w:t>Naziv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obveznika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: OPĆINA LOVAS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Razina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22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Adresa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32 237 LOVAS, A. STARČEVIĆA 5                                     RKP: 36532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Matični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753140">
        <w:rPr>
          <w:rFonts w:ascii="Times New Roman" w:hAnsi="Times New Roman"/>
          <w:b/>
          <w:sz w:val="24"/>
          <w:szCs w:val="24"/>
        </w:rPr>
        <w:t xml:space="preserve">02566010                     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proofErr w:type="gram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županije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16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r w:rsidRPr="00753140">
        <w:rPr>
          <w:rFonts w:ascii="Times New Roman" w:hAnsi="Times New Roman"/>
          <w:b/>
          <w:sz w:val="24"/>
          <w:szCs w:val="24"/>
        </w:rPr>
        <w:t xml:space="preserve">OIB: </w:t>
      </w:r>
      <w:proofErr w:type="gramStart"/>
      <w:r w:rsidRPr="00753140">
        <w:rPr>
          <w:rFonts w:ascii="Times New Roman" w:hAnsi="Times New Roman"/>
          <w:b/>
          <w:sz w:val="24"/>
          <w:szCs w:val="24"/>
        </w:rPr>
        <w:t xml:space="preserve">06939947940                             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proofErr w:type="gram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općine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239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djelatnosti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8411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Pr="000A1A71" w:rsidRDefault="00DA6545" w:rsidP="00DA6545">
      <w:pPr>
        <w:rPr>
          <w:rFonts w:ascii="Times New Roman" w:hAnsi="Times New Roman"/>
          <w:b/>
          <w:sz w:val="24"/>
          <w:szCs w:val="24"/>
        </w:rPr>
      </w:pPr>
      <w:r w:rsidRPr="000A1A71">
        <w:rPr>
          <w:rFonts w:ascii="Times New Roman" w:hAnsi="Times New Roman"/>
          <w:b/>
          <w:sz w:val="24"/>
          <w:szCs w:val="24"/>
        </w:rPr>
        <w:t xml:space="preserve">POPIS SUDSKIH SPOROVA </w:t>
      </w:r>
      <w:r>
        <w:rPr>
          <w:rFonts w:ascii="Times New Roman" w:hAnsi="Times New Roman"/>
          <w:b/>
          <w:sz w:val="24"/>
          <w:szCs w:val="24"/>
        </w:rPr>
        <w:t xml:space="preserve">U TIJEKU </w:t>
      </w:r>
      <w:r w:rsidRPr="000A1A71">
        <w:rPr>
          <w:rFonts w:ascii="Times New Roman" w:hAnsi="Times New Roman"/>
          <w:b/>
          <w:sz w:val="24"/>
          <w:szCs w:val="24"/>
        </w:rPr>
        <w:t>ZA 20</w:t>
      </w:r>
      <w:r>
        <w:rPr>
          <w:rFonts w:ascii="Times New Roman" w:hAnsi="Times New Roman"/>
          <w:b/>
          <w:sz w:val="24"/>
          <w:szCs w:val="24"/>
        </w:rPr>
        <w:t>22. GODINU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115"/>
        <w:gridCol w:w="2277"/>
        <w:gridCol w:w="7371"/>
      </w:tblGrid>
      <w:tr w:rsidR="00DA6545" w:rsidRPr="002C7115" w:rsidTr="008455CF">
        <w:tc>
          <w:tcPr>
            <w:tcW w:w="1812" w:type="dxa"/>
          </w:tcPr>
          <w:p w:rsidR="00DA6545" w:rsidRPr="000A1A71" w:rsidRDefault="00DA6545" w:rsidP="0084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OPIS SPORA</w:t>
            </w:r>
          </w:p>
        </w:tc>
        <w:tc>
          <w:tcPr>
            <w:tcW w:w="2115" w:type="dxa"/>
          </w:tcPr>
          <w:p w:rsidR="00DA6545" w:rsidRPr="000A1A71" w:rsidRDefault="00DA6545" w:rsidP="0084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TUŽITELJ</w:t>
            </w:r>
          </w:p>
        </w:tc>
        <w:tc>
          <w:tcPr>
            <w:tcW w:w="2277" w:type="dxa"/>
          </w:tcPr>
          <w:p w:rsidR="00DA6545" w:rsidRPr="000A1A71" w:rsidRDefault="00DA6545" w:rsidP="0084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TUŽENIK</w:t>
            </w:r>
          </w:p>
        </w:tc>
        <w:tc>
          <w:tcPr>
            <w:tcW w:w="7371" w:type="dxa"/>
          </w:tcPr>
          <w:p w:rsidR="00DA6545" w:rsidRPr="000A1A71" w:rsidRDefault="00DA6545" w:rsidP="0084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JENA OBVEZE IZ SUDSKOG SPORA</w:t>
            </w:r>
          </w:p>
        </w:tc>
      </w:tr>
      <w:tr w:rsidR="00DA6545" w:rsidRPr="002C7115" w:rsidTr="008455CF">
        <w:tc>
          <w:tcPr>
            <w:tcW w:w="1812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Zahtjev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zaštitu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prava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1A71">
              <w:rPr>
                <w:rFonts w:ascii="Times New Roman" w:hAnsi="Times New Roman"/>
                <w:sz w:val="24"/>
                <w:szCs w:val="24"/>
              </w:rPr>
              <w:t>zaprimljen</w:t>
            </w:r>
            <w:proofErr w:type="spellEnd"/>
            <w:proofErr w:type="gram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11.09.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018.</w:t>
            </w:r>
          </w:p>
        </w:tc>
        <w:tc>
          <w:tcPr>
            <w:tcW w:w="2115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Zdravko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Keser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Franje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Račkog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19,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punom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ćniku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Martina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Alagić</w:t>
            </w:r>
            <w:proofErr w:type="spellEnd"/>
          </w:p>
        </w:tc>
        <w:tc>
          <w:tcPr>
            <w:tcW w:w="2277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 06939947940 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tarčevića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32 237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</w:p>
        </w:tc>
        <w:tc>
          <w:tcPr>
            <w:tcW w:w="7371" w:type="dxa"/>
          </w:tcPr>
          <w:p w:rsidR="00DA6545" w:rsidRPr="000A1A71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U</w:t>
            </w:r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sudskom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sporu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tužbi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Zdravka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Kesera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Općinskim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Vukovaru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zahtijeva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utvrđenje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je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imenovani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zaključio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Ugovor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neodređeno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vrijeme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te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mu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priznaju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sva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prava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radnog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odnosa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zatim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žalbi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Županijskom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,</w:t>
            </w:r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rješenja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procesnog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pitanja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završetka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tijekom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2019.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postupila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prema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toga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žalbi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nalazi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Vrhovnim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Republike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Zagrebu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povodom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revizije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izjavljene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protiv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pravomoćne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presude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Vukovaru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Poslovni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: 11 Pr-146/2018-4, od 08.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studenog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2018.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. </w:t>
            </w:r>
          </w:p>
          <w:p w:rsidR="00DA6545" w:rsidRPr="000A1A71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Stoga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trenutku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prognozirati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učinka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proisteći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spora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budući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biti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vidljivi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Vrhovnog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odrediti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daljnji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tijek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Pr="000A1A71" w:rsidRDefault="00DA6545" w:rsidP="008455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545" w:rsidRPr="002C7115" w:rsidTr="008455CF">
        <w:tc>
          <w:tcPr>
            <w:tcW w:w="1812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novčanog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iznosa</w:t>
            </w:r>
            <w:proofErr w:type="spellEnd"/>
          </w:p>
        </w:tc>
        <w:tc>
          <w:tcPr>
            <w:tcW w:w="2115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 06939947940 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tarčevića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32 237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</w:p>
        </w:tc>
        <w:tc>
          <w:tcPr>
            <w:tcW w:w="2277" w:type="dxa"/>
          </w:tcPr>
          <w:p w:rsidR="00DA6545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Metalfer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Steel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A6545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OIB: 39862250297</w:t>
            </w:r>
          </w:p>
          <w:p w:rsidR="00DA6545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Gospodarska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zona bb</w:t>
            </w:r>
          </w:p>
        </w:tc>
        <w:tc>
          <w:tcPr>
            <w:tcW w:w="7371" w:type="dxa"/>
          </w:tcPr>
          <w:p w:rsidR="00DA6545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Trgovačkim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Osijeku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P- 106/21.,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između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tužitelja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tuženika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Metalfer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Steel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Gospodarska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zona bb,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isplate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novčanog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iznosa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785.410,00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rješenjem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istog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od 15.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rujna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2021.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određen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prekid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obzirom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tuženikom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rješenjem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St- 376/21., od 17.lipnja 2021.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otvoren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Nastavak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parničnog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ovisi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statusu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dužnikom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stoga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prognozirati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učinka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proisteći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spora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</w:tc>
      </w:tr>
    </w:tbl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Pr="000A1A71" w:rsidRDefault="00766D8A" w:rsidP="00DA6545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Lovasu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27</w:t>
      </w:r>
      <w:bookmarkStart w:id="0" w:name="_GoBack"/>
      <w:bookmarkEnd w:id="0"/>
      <w:r w:rsidR="00DA6545" w:rsidRPr="000A1A7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DA6545" w:rsidRPr="000A1A71">
        <w:rPr>
          <w:rFonts w:ascii="Times New Roman" w:hAnsi="Times New Roman"/>
          <w:color w:val="000000"/>
          <w:sz w:val="24"/>
          <w:szCs w:val="24"/>
        </w:rPr>
        <w:t>veljače</w:t>
      </w:r>
      <w:proofErr w:type="spellEnd"/>
      <w:proofErr w:type="gramEnd"/>
      <w:r w:rsidR="00DA6545" w:rsidRPr="000A1A71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EA3E72">
        <w:rPr>
          <w:rFonts w:ascii="Times New Roman" w:hAnsi="Times New Roman"/>
          <w:color w:val="000000"/>
          <w:sz w:val="24"/>
          <w:szCs w:val="24"/>
        </w:rPr>
        <w:t>24</w:t>
      </w:r>
      <w:r w:rsidR="00DA6545" w:rsidRPr="000A1A7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DA6545" w:rsidRPr="000A1A71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proofErr w:type="gramEnd"/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Osoba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kontakt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Conjar</w:t>
      </w:r>
      <w:proofErr w:type="spellEnd"/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: 032/525-909</w:t>
      </w: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Zakonski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predstavnik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:</w:t>
      </w: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Načelnica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Općine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Lovas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Tanja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Cirba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dipl.novinar</w:t>
      </w:r>
      <w:proofErr w:type="spellEnd"/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>
      <w:pPr>
        <w:spacing w:after="160" w:line="259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br w:type="page"/>
      </w:r>
    </w:p>
    <w:p w:rsidR="00DA6545" w:rsidRPr="00DD6371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FC0B52" w:rsidRDefault="00FC0B52"/>
    <w:sectPr w:rsidR="00FC0B52" w:rsidSect="00DA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479DD"/>
    <w:multiLevelType w:val="hybridMultilevel"/>
    <w:tmpl w:val="38989536"/>
    <w:lvl w:ilvl="0" w:tplc="D77C64E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44"/>
    <w:rsid w:val="000219E0"/>
    <w:rsid w:val="000F336A"/>
    <w:rsid w:val="001656C0"/>
    <w:rsid w:val="001E30C7"/>
    <w:rsid w:val="001E6588"/>
    <w:rsid w:val="002278A4"/>
    <w:rsid w:val="00294418"/>
    <w:rsid w:val="00296BB6"/>
    <w:rsid w:val="00353344"/>
    <w:rsid w:val="003E5738"/>
    <w:rsid w:val="0069362E"/>
    <w:rsid w:val="0075588D"/>
    <w:rsid w:val="00766D8A"/>
    <w:rsid w:val="00770695"/>
    <w:rsid w:val="008327BC"/>
    <w:rsid w:val="008455CF"/>
    <w:rsid w:val="009A2F83"/>
    <w:rsid w:val="009D4E41"/>
    <w:rsid w:val="00A37698"/>
    <w:rsid w:val="00A9705F"/>
    <w:rsid w:val="00AA06FC"/>
    <w:rsid w:val="00AB093A"/>
    <w:rsid w:val="00AC4655"/>
    <w:rsid w:val="00B04856"/>
    <w:rsid w:val="00C73AFC"/>
    <w:rsid w:val="00C84DDC"/>
    <w:rsid w:val="00C978B4"/>
    <w:rsid w:val="00CA0A0F"/>
    <w:rsid w:val="00D67B51"/>
    <w:rsid w:val="00DA6545"/>
    <w:rsid w:val="00EA3E72"/>
    <w:rsid w:val="00EF6396"/>
    <w:rsid w:val="00F602FF"/>
    <w:rsid w:val="00F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6A936-40DB-4605-A6C5-D6C2E28F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44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353344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53344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3">
    <w:name w:val="Body Text 3"/>
    <w:basedOn w:val="Normal"/>
    <w:link w:val="Tijeloteksta3Char"/>
    <w:rsid w:val="00353344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353344"/>
    <w:rPr>
      <w:rFonts w:ascii="Arial" w:eastAsia="Times New Roman" w:hAnsi="Arial" w:cs="Times New Roman"/>
      <w:sz w:val="16"/>
      <w:szCs w:val="16"/>
      <w:lang w:val="en-US" w:eastAsia="hr-HR"/>
    </w:rPr>
  </w:style>
  <w:style w:type="table" w:styleId="Reetkatablice">
    <w:name w:val="Table Grid"/>
    <w:basedOn w:val="Obinatablica"/>
    <w:uiPriority w:val="39"/>
    <w:rsid w:val="00DA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3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0C7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766D8A"/>
    <w:pPr>
      <w:spacing w:after="200" w:line="276" w:lineRule="auto"/>
      <w:ind w:left="720"/>
      <w:contextualSpacing/>
    </w:pPr>
    <w:rPr>
      <w:rFonts w:ascii="Calibri" w:hAnsi="Calibri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2</cp:revision>
  <cp:lastPrinted>2024-02-27T08:16:00Z</cp:lastPrinted>
  <dcterms:created xsi:type="dcterms:W3CDTF">2024-02-27T13:58:00Z</dcterms:created>
  <dcterms:modified xsi:type="dcterms:W3CDTF">2024-02-27T13:58:00Z</dcterms:modified>
</cp:coreProperties>
</file>