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21E1" w14:textId="77777777" w:rsidR="004611D3" w:rsidRPr="00553790" w:rsidRDefault="004611D3" w:rsidP="004611D3">
      <w:pPr>
        <w:keepNext/>
        <w:rPr>
          <w:rFonts w:ascii="Marigold" w:hAnsi="Marigold"/>
          <w:b/>
          <w:sz w:val="28"/>
          <w:szCs w:val="28"/>
        </w:rPr>
      </w:pPr>
      <w:r w:rsidRPr="00553790">
        <w:rPr>
          <w:sz w:val="28"/>
          <w:szCs w:val="28"/>
        </w:rPr>
        <w:t xml:space="preserve">          </w:t>
      </w:r>
      <w:r w:rsidRPr="00553790">
        <w:rPr>
          <w:sz w:val="28"/>
          <w:szCs w:val="28"/>
        </w:rPr>
        <w:object w:dxaOrig="918" w:dyaOrig="1117" w14:anchorId="64B5A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08215660" r:id="rId8"/>
        </w:object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  <w:r w:rsidRPr="00553790">
        <w:rPr>
          <w:sz w:val="28"/>
          <w:szCs w:val="28"/>
        </w:rPr>
        <w:tab/>
      </w:r>
    </w:p>
    <w:p w14:paraId="494A8510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REPUBLIKA HRVATSKA</w:t>
      </w:r>
    </w:p>
    <w:p w14:paraId="4ADF85DD" w14:textId="77777777" w:rsidR="004611D3" w:rsidRPr="00553790" w:rsidRDefault="004611D3" w:rsidP="004611D3">
      <w:pPr>
        <w:keepNext/>
        <w:ind w:left="-567" w:hanging="142"/>
        <w:rPr>
          <w:sz w:val="28"/>
          <w:szCs w:val="28"/>
        </w:rPr>
      </w:pPr>
      <w:r w:rsidRPr="00553790">
        <w:rPr>
          <w:sz w:val="28"/>
          <w:szCs w:val="28"/>
        </w:rPr>
        <w:t>VUKOVARSKO-SRIJEMSKA ŽUPANIJA</w:t>
      </w:r>
    </w:p>
    <w:p w14:paraId="7C1F3AF6" w14:textId="77777777" w:rsidR="004611D3" w:rsidRPr="00553790" w:rsidRDefault="004611D3" w:rsidP="004611D3">
      <w:pPr>
        <w:keepNext/>
        <w:ind w:left="-709"/>
        <w:rPr>
          <w:sz w:val="28"/>
          <w:szCs w:val="28"/>
        </w:rPr>
      </w:pPr>
      <w:r w:rsidRPr="00553790">
        <w:rPr>
          <w:sz w:val="28"/>
          <w:szCs w:val="28"/>
        </w:rPr>
        <w:t xml:space="preserve">                    OPĆINA LOVAS</w:t>
      </w:r>
    </w:p>
    <w:p w14:paraId="5525DABD" w14:textId="77777777" w:rsidR="004611D3" w:rsidRPr="0065512A" w:rsidRDefault="004611D3" w:rsidP="004611D3">
      <w:pPr>
        <w:keepNext/>
        <w:ind w:left="-709"/>
        <w:rPr>
          <w:sz w:val="28"/>
          <w:szCs w:val="28"/>
          <w:lang w:val="hr-HR"/>
        </w:rPr>
      </w:pPr>
      <w:r w:rsidRPr="00553790">
        <w:rPr>
          <w:sz w:val="28"/>
          <w:szCs w:val="28"/>
          <w:lang w:val="hr-HR"/>
        </w:rPr>
        <w:t xml:space="preserve">                </w:t>
      </w:r>
      <w:r w:rsidRPr="0065512A">
        <w:rPr>
          <w:sz w:val="28"/>
          <w:szCs w:val="28"/>
          <w:lang w:val="hr-HR"/>
        </w:rPr>
        <w:t>OPĆINSKO VIJEĆE</w:t>
      </w:r>
    </w:p>
    <w:p w14:paraId="284569BD" w14:textId="358CDFEB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Klasa: </w:t>
      </w:r>
      <w:r w:rsidR="00913282">
        <w:rPr>
          <w:sz w:val="28"/>
          <w:szCs w:val="28"/>
          <w:lang w:val="hr-HR"/>
        </w:rPr>
        <w:t>363</w:t>
      </w:r>
      <w:r w:rsidRPr="0065512A">
        <w:rPr>
          <w:sz w:val="28"/>
          <w:szCs w:val="28"/>
          <w:lang w:val="hr-HR"/>
        </w:rPr>
        <w:t>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/18-0</w:t>
      </w:r>
      <w:r w:rsidR="00913282">
        <w:rPr>
          <w:sz w:val="28"/>
          <w:szCs w:val="28"/>
          <w:lang w:val="hr-HR"/>
        </w:rPr>
        <w:t>1</w:t>
      </w:r>
      <w:r w:rsidRPr="0065512A">
        <w:rPr>
          <w:sz w:val="28"/>
          <w:szCs w:val="28"/>
          <w:lang w:val="hr-HR"/>
        </w:rPr>
        <w:t>/</w:t>
      </w:r>
      <w:r w:rsidR="003A6A77">
        <w:rPr>
          <w:sz w:val="28"/>
          <w:szCs w:val="28"/>
          <w:lang w:val="hr-HR"/>
        </w:rPr>
        <w:t>2</w:t>
      </w:r>
    </w:p>
    <w:p w14:paraId="09F652C7" w14:textId="563704FD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>Ur. broj: 2196/05-18-</w:t>
      </w:r>
      <w:r w:rsidR="00913282">
        <w:rPr>
          <w:sz w:val="28"/>
          <w:szCs w:val="28"/>
          <w:lang w:val="hr-HR"/>
        </w:rPr>
        <w:t>2</w:t>
      </w:r>
    </w:p>
    <w:p w14:paraId="49D24AF9" w14:textId="0C82BF74" w:rsidR="004611D3" w:rsidRPr="0065512A" w:rsidRDefault="004611D3" w:rsidP="004611D3">
      <w:pPr>
        <w:keepNext/>
        <w:rPr>
          <w:sz w:val="28"/>
          <w:szCs w:val="28"/>
          <w:lang w:val="hr-HR"/>
        </w:rPr>
      </w:pPr>
      <w:r w:rsidRPr="0065512A">
        <w:rPr>
          <w:sz w:val="28"/>
          <w:szCs w:val="28"/>
          <w:lang w:val="hr-HR"/>
        </w:rPr>
        <w:t xml:space="preserve">Lovas, </w:t>
      </w:r>
      <w:r w:rsidR="009F096C">
        <w:rPr>
          <w:sz w:val="28"/>
          <w:szCs w:val="28"/>
          <w:lang w:val="hr-HR"/>
        </w:rPr>
        <w:t>2</w:t>
      </w:r>
      <w:r w:rsidR="003A6A77">
        <w:rPr>
          <w:sz w:val="28"/>
          <w:szCs w:val="28"/>
          <w:lang w:val="hr-HR"/>
        </w:rPr>
        <w:t>8</w:t>
      </w:r>
      <w:r w:rsidR="0065512A" w:rsidRPr="0065512A">
        <w:rPr>
          <w:sz w:val="28"/>
          <w:szCs w:val="28"/>
          <w:lang w:val="hr-HR"/>
        </w:rPr>
        <w:t>.</w:t>
      </w:r>
      <w:r w:rsidRPr="0065512A">
        <w:rPr>
          <w:sz w:val="28"/>
          <w:szCs w:val="28"/>
          <w:lang w:val="hr-HR"/>
        </w:rPr>
        <w:t xml:space="preserve"> prosinca 2018.</w:t>
      </w:r>
    </w:p>
    <w:p w14:paraId="23931284" w14:textId="77777777" w:rsidR="004611D3" w:rsidRPr="0065512A" w:rsidRDefault="004611D3" w:rsidP="004611D3">
      <w:pPr>
        <w:keepNext/>
        <w:rPr>
          <w:lang w:val="hr-HR"/>
        </w:rPr>
      </w:pPr>
    </w:p>
    <w:p w14:paraId="4AF9C05F" w14:textId="77777777" w:rsidR="004611D3" w:rsidRPr="0065512A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3C1249" w14:textId="2E872CB0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Na temelju članaka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. Zakona o koncesijama („Narodne novine“ broj 69/17)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i članka 29</w:t>
      </w:r>
      <w:r w:rsidRPr="00626628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. Statuta Op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ć</w:t>
      </w:r>
      <w:r w:rsidRPr="00626628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Lovas, Općinsko vijeće Opć</w:t>
      </w:r>
      <w:r w:rsidRPr="00626628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Lovas na svojoj </w:t>
      </w:r>
      <w:r w:rsidR="004611D3" w:rsidRPr="00626628">
        <w:rPr>
          <w:rFonts w:ascii="Times New Roman" w:hAnsi="Times New Roman"/>
          <w:sz w:val="28"/>
          <w:szCs w:val="28"/>
          <w:shd w:val="clear" w:color="auto" w:fill="FFFFFF"/>
        </w:rPr>
        <w:t>XV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>I</w:t>
      </w:r>
      <w:r w:rsidR="004611D3" w:rsidRPr="00626628">
        <w:rPr>
          <w:rFonts w:ascii="Times New Roman" w:hAnsi="Times New Roman"/>
          <w:sz w:val="28"/>
          <w:szCs w:val="28"/>
          <w:shd w:val="clear" w:color="auto" w:fill="FFFFFF"/>
        </w:rPr>
        <w:t>I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sjednici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održanoj dana </w:t>
      </w:r>
      <w:r w:rsidR="009F096C" w:rsidRPr="006266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B6717">
        <w:rPr>
          <w:rFonts w:ascii="Times New Roman" w:hAnsi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4611D3" w:rsidRPr="00626628">
        <w:rPr>
          <w:rFonts w:ascii="Times New Roman" w:hAnsi="Times New Roman"/>
          <w:sz w:val="28"/>
          <w:szCs w:val="28"/>
          <w:shd w:val="clear" w:color="auto" w:fill="FFFFFF"/>
        </w:rPr>
        <w:t>. prosinca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2018.</w:t>
      </w:r>
      <w:r w:rsidR="007F5AD4" w:rsidRPr="006266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4611D3" w:rsidRPr="00626628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626628">
        <w:rPr>
          <w:rFonts w:ascii="Times New Roman" w:hAnsi="Times New Roman"/>
          <w:sz w:val="28"/>
          <w:szCs w:val="28"/>
          <w:shd w:val="clear" w:color="auto" w:fill="FFFFFF"/>
        </w:rPr>
        <w:t>, donosi sljedeću</w:t>
      </w:r>
    </w:p>
    <w:p w14:paraId="35965ABA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237419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8BF861" w14:textId="5244C916" w:rsidR="004611D3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ODLUKU</w:t>
      </w:r>
    </w:p>
    <w:p w14:paraId="3F29DDD1" w14:textId="07713A23" w:rsidR="00A34596" w:rsidRPr="004611D3" w:rsidRDefault="003A6A77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o poništenju postupka </w:t>
      </w:r>
      <w:bookmarkStart w:id="1" w:name="OLE_LINK4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davanja koncesije</w:t>
      </w:r>
    </w:p>
    <w:p w14:paraId="68E7B42B" w14:textId="09C2DC03" w:rsidR="00A34596" w:rsidRPr="004611D3" w:rsidRDefault="003A6A77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A6A7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za obavljanje komunalne djelatnosti dimnjačarskih poslova</w:t>
      </w:r>
      <w:bookmarkEnd w:id="1"/>
    </w:p>
    <w:p w14:paraId="1BF7D53A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DBBD25D" w14:textId="77777777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1E76A" w14:textId="1068790C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1.</w:t>
      </w:r>
    </w:p>
    <w:p w14:paraId="12F8792F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6CF825" w14:textId="12CD8CAB" w:rsidR="003A6A77" w:rsidRDefault="006176FE" w:rsidP="003A6A77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 w:rsidRPr="004611D3">
        <w:rPr>
          <w:rFonts w:ascii="Times New Roman" w:hAnsi="Times New Roman"/>
          <w:sz w:val="28"/>
          <w:szCs w:val="28"/>
          <w:shd w:val="clear" w:color="auto" w:fill="FEFFFF"/>
        </w:rPr>
        <w:t>Općinsko vijeće Opć</w:t>
      </w:r>
      <w:r w:rsidRPr="004611D3">
        <w:rPr>
          <w:rFonts w:ascii="Times New Roman" w:hAnsi="Times New Roman"/>
          <w:sz w:val="28"/>
          <w:szCs w:val="28"/>
          <w:shd w:val="clear" w:color="auto" w:fill="FE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EFFFF"/>
        </w:rPr>
        <w:t xml:space="preserve">Lovas na temelju prijedloga Stručnog povjerenstva za dodjelu koncesije </w:t>
      </w:r>
      <w:bookmarkStart w:id="2" w:name="OLE_LINK5"/>
      <w:bookmarkStart w:id="3" w:name="OLE_LINK6"/>
      <w:r w:rsidR="003A6A77" w:rsidRPr="003A6A77">
        <w:rPr>
          <w:rFonts w:ascii="Times New Roman" w:hAnsi="Times New Roman"/>
          <w:sz w:val="28"/>
          <w:szCs w:val="28"/>
          <w:shd w:val="clear" w:color="auto" w:fill="FEFFFF"/>
        </w:rPr>
        <w:t>za obavljanje komunalne djelatnosti dimnjačarskih poslova</w:t>
      </w:r>
      <w:bookmarkEnd w:id="2"/>
      <w:bookmarkEnd w:id="3"/>
      <w:r w:rsidRPr="004611D3">
        <w:rPr>
          <w:rFonts w:ascii="Times New Roman" w:hAnsi="Times New Roman"/>
          <w:sz w:val="28"/>
          <w:szCs w:val="28"/>
          <w:shd w:val="clear" w:color="auto" w:fill="FEFFFF"/>
        </w:rPr>
        <w:t>,</w:t>
      </w:r>
      <w:r w:rsidR="003A6A77">
        <w:rPr>
          <w:rFonts w:ascii="Times New Roman" w:hAnsi="Times New Roman"/>
          <w:sz w:val="28"/>
          <w:szCs w:val="28"/>
          <w:shd w:val="clear" w:color="auto" w:fill="FEFFFF"/>
        </w:rPr>
        <w:t xml:space="preserve"> poništava postupak </w:t>
      </w:r>
      <w:r w:rsidR="003A6A77" w:rsidRPr="003A6A77">
        <w:rPr>
          <w:rFonts w:ascii="Times New Roman" w:hAnsi="Times New Roman"/>
          <w:sz w:val="28"/>
          <w:szCs w:val="28"/>
          <w:shd w:val="clear" w:color="auto" w:fill="FEFFFF"/>
        </w:rPr>
        <w:t>davanja koncesije</w:t>
      </w:r>
      <w:r w:rsidR="003A6A77">
        <w:rPr>
          <w:rFonts w:ascii="Times New Roman" w:hAnsi="Times New Roman"/>
          <w:sz w:val="28"/>
          <w:szCs w:val="28"/>
          <w:shd w:val="clear" w:color="auto" w:fill="FEFFFF"/>
        </w:rPr>
        <w:t xml:space="preserve"> </w:t>
      </w:r>
      <w:r w:rsidR="003A6A77" w:rsidRPr="003A6A77">
        <w:rPr>
          <w:rFonts w:ascii="Times New Roman" w:hAnsi="Times New Roman"/>
          <w:sz w:val="28"/>
          <w:szCs w:val="28"/>
          <w:shd w:val="clear" w:color="auto" w:fill="FEFFFF"/>
        </w:rPr>
        <w:t>za obavljanje komunalne djelatnosti dimnjačarskih poslova</w:t>
      </w:r>
      <w:r w:rsidR="003A6A77">
        <w:rPr>
          <w:rFonts w:ascii="Times New Roman" w:hAnsi="Times New Roman"/>
          <w:sz w:val="28"/>
          <w:szCs w:val="28"/>
          <w:shd w:val="clear" w:color="auto" w:fill="FEFFFF"/>
        </w:rPr>
        <w:t>.</w:t>
      </w:r>
    </w:p>
    <w:p w14:paraId="3DF1C7BB" w14:textId="77777777" w:rsidR="003A6A77" w:rsidRDefault="003A6A77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</w:p>
    <w:p w14:paraId="1089DA2E" w14:textId="729A45B3" w:rsidR="0053631A" w:rsidRDefault="0053631A">
      <w:pPr>
        <w:rPr>
          <w:rFonts w:eastAsia="Helvetica" w:cs="Helvetica"/>
          <w:bCs/>
          <w:color w:val="000000"/>
          <w:sz w:val="28"/>
          <w:szCs w:val="28"/>
          <w:shd w:val="clear" w:color="auto" w:fill="FFFFFF"/>
          <w:lang w:val="hr-HR" w:eastAsia="hr-HR"/>
        </w:rPr>
      </w:pPr>
    </w:p>
    <w:p w14:paraId="680BC617" w14:textId="1F300704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39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2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72ADE2" w14:textId="77777777" w:rsid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7B0A0B8" w14:textId="65EE7EBD" w:rsidR="009A0C46" w:rsidRDefault="009A0C46" w:rsidP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Postupak davanja koncesije </w:t>
      </w:r>
      <w:r w:rsidRPr="009A0C46">
        <w:rPr>
          <w:rFonts w:ascii="Times New Roman" w:hAnsi="Times New Roman"/>
          <w:sz w:val="28"/>
          <w:szCs w:val="28"/>
          <w:shd w:val="clear" w:color="auto" w:fill="FFFFFF"/>
        </w:rPr>
        <w:t xml:space="preserve">za obavljanje komunalne djelatnosti dimnjačarskih poslova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se poništava jer su </w:t>
      </w:r>
      <w:r w:rsidRPr="009A0C46">
        <w:rPr>
          <w:rFonts w:ascii="Times New Roman" w:hAnsi="Times New Roman"/>
          <w:sz w:val="28"/>
          <w:szCs w:val="28"/>
          <w:shd w:val="clear" w:color="auto" w:fill="FFFFFF"/>
        </w:rPr>
        <w:t>posta</w:t>
      </w:r>
      <w:r>
        <w:rPr>
          <w:rFonts w:ascii="Times New Roman" w:hAnsi="Times New Roman"/>
          <w:sz w:val="28"/>
          <w:szCs w:val="28"/>
          <w:shd w:val="clear" w:color="auto" w:fill="FFFFFF"/>
        </w:rPr>
        <w:t>le</w:t>
      </w:r>
      <w:r w:rsidRPr="009A0C46">
        <w:rPr>
          <w:rFonts w:ascii="Times New Roman" w:hAnsi="Times New Roman"/>
          <w:sz w:val="28"/>
          <w:szCs w:val="28"/>
          <w:shd w:val="clear" w:color="auto" w:fill="FFFFFF"/>
        </w:rPr>
        <w:t xml:space="preserve"> poznate okolnosti koje bi, da su bile poznate prije pokretanja postupka davanja koncesije, dovele do sadržajno bitno drukčije obavijesti o namjeri davanja koncesije</w:t>
      </w:r>
      <w:r w:rsid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810503" w14:textId="35A9EA3B" w:rsidR="0016243F" w:rsidRDefault="0016243F" w:rsidP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bCs/>
          <w:sz w:val="28"/>
          <w:szCs w:val="28"/>
          <w:shd w:val="clear" w:color="auto" w:fill="FFFFFF"/>
        </w:rPr>
      </w:pPr>
    </w:p>
    <w:p w14:paraId="528B9E5E" w14:textId="77777777" w:rsidR="0016243F" w:rsidRDefault="0016243F" w:rsidP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bCs/>
          <w:sz w:val="28"/>
          <w:szCs w:val="28"/>
          <w:shd w:val="clear" w:color="auto" w:fill="FFFFFF"/>
        </w:rPr>
      </w:pPr>
    </w:p>
    <w:p w14:paraId="6789A0F9" w14:textId="2661240C" w:rsidR="00A3459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Cs/>
          <w:sz w:val="28"/>
          <w:szCs w:val="28"/>
          <w:shd w:val="clear" w:color="auto" w:fill="FFFFFF"/>
        </w:rPr>
        <w:t>Članak 3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E07E9A" w14:textId="77777777" w:rsidR="004611D3" w:rsidRPr="004611D3" w:rsidRDefault="004611D3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72FA08A" w14:textId="55278E6F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se bez odgode,</w:t>
      </w:r>
      <w:r w:rsidR="009A0C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dostavlja ponuditeljima na dokaziv način.</w:t>
      </w:r>
    </w:p>
    <w:p w14:paraId="492E712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5B6ABCC" w14:textId="464878BC" w:rsidR="00A34596" w:rsidRPr="00725439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Članak </w:t>
      </w:r>
      <w:r w:rsidR="00B0748B"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Pr="0072543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30DF7FD7" w14:textId="77777777" w:rsidR="00725439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E97C6A" w14:textId="359BB0EF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Ova odluka objavit će se u Elektroničkom oglasniku javne nabave Republike Hrvatske i na internetskoj stranici Opć</w:t>
      </w:r>
      <w:r w:rsidRPr="004611D3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ine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Lovas.</w:t>
      </w:r>
    </w:p>
    <w:p w14:paraId="6756B709" w14:textId="09382BBB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AF2697E" w14:textId="77777777" w:rsidR="00725439" w:rsidRPr="004611D3" w:rsidRDefault="0072543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B8CDE2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Obrazloženje</w:t>
      </w:r>
    </w:p>
    <w:p w14:paraId="35B45E1B" w14:textId="06D06565" w:rsidR="00330AFF" w:rsidRDefault="00330AF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E34E7F" w14:textId="59763C4D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Općina Lovas kao davatelj koncesije je na temelju 36. i 37. stavaka Zakona o koncesijama („Narodne novine“ broj 69/17) i članka 2</w:t>
      </w:r>
      <w:r w:rsidR="00A0284B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0284B">
        <w:rPr>
          <w:rFonts w:ascii="Times New Roman" w:hAnsi="Times New Roman"/>
          <w:sz w:val="28"/>
          <w:szCs w:val="28"/>
          <w:shd w:val="clear" w:color="auto" w:fill="FFFFFF"/>
        </w:rPr>
        <w:t xml:space="preserve"> i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A0284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. Zakona o </w:t>
      </w:r>
      <w:r w:rsidR="00A0284B">
        <w:rPr>
          <w:rFonts w:ascii="Times New Roman" w:hAnsi="Times New Roman"/>
          <w:sz w:val="28"/>
          <w:szCs w:val="28"/>
          <w:shd w:val="clear" w:color="auto" w:fill="FFFFFF"/>
        </w:rPr>
        <w:t>komunalnom gospodarstvu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(„Narodne novine“ broj </w:t>
      </w:r>
      <w:r w:rsidR="008E00E2">
        <w:rPr>
          <w:rFonts w:ascii="Times New Roman" w:hAnsi="Times New Roman"/>
          <w:sz w:val="28"/>
          <w:szCs w:val="28"/>
          <w:shd w:val="clear" w:color="auto" w:fill="FFFFFF"/>
        </w:rPr>
        <w:t>68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/1</w:t>
      </w:r>
      <w:r w:rsidR="008E00E2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) pokrenula postupak slanjem Obavijesti o namjeri davanja koncesije za obavljanje </w:t>
      </w:r>
      <w:r w:rsidR="008E00E2">
        <w:rPr>
          <w:rFonts w:ascii="Times New Roman" w:hAnsi="Times New Roman"/>
          <w:sz w:val="28"/>
          <w:szCs w:val="28"/>
          <w:shd w:val="clear" w:color="auto" w:fill="FFFFFF"/>
        </w:rPr>
        <w:t>komunalne djelatnosti dimnjačarskih poslova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47581E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50C6C03" w14:textId="032CE0E2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Obavijest je objavljena 2</w:t>
      </w:r>
      <w:r w:rsidR="008E00E2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00E2">
        <w:rPr>
          <w:rFonts w:ascii="Times New Roman" w:hAnsi="Times New Roman"/>
          <w:sz w:val="28"/>
          <w:szCs w:val="28"/>
          <w:shd w:val="clear" w:color="auto" w:fill="FFFFFF"/>
        </w:rPr>
        <w:t>studenog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2018.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725439">
        <w:rPr>
          <w:rFonts w:ascii="Times New Roman" w:hAnsi="Times New Roman"/>
          <w:sz w:val="28"/>
          <w:szCs w:val="28"/>
          <w:shd w:val="clear" w:color="auto" w:fill="FFFFFF"/>
        </w:rPr>
        <w:t>odine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 xml:space="preserve"> u Elektroničkom oglasniku javne nabave Republike Hrvatske pod oznakom </w:t>
      </w:r>
      <w:r w:rsidR="008E00E2" w:rsidRPr="008E00E2">
        <w:rPr>
          <w:rFonts w:ascii="Times New Roman" w:hAnsi="Times New Roman"/>
          <w:sz w:val="28"/>
          <w:szCs w:val="28"/>
          <w:u w:color="000000"/>
        </w:rPr>
        <w:t>2018/S 01K-0033128</w:t>
      </w: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88555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F779837" w14:textId="5F680181" w:rsidR="00747266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748B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>Stru</w:t>
      </w:r>
      <w:r w:rsidRPr="00B0748B">
        <w:rPr>
          <w:rFonts w:ascii="Times New Roman" w:hAnsi="Times New Roman"/>
          <w:sz w:val="28"/>
          <w:szCs w:val="28"/>
          <w:shd w:val="clear" w:color="auto" w:fill="FFFFFF"/>
        </w:rPr>
        <w:t xml:space="preserve">čno povjerenstvo utvrdilo je </w:t>
      </w:r>
      <w:r w:rsidR="00747266" w:rsidRPr="00B0748B">
        <w:rPr>
          <w:rFonts w:ascii="Times New Roman" w:hAnsi="Times New Roman"/>
          <w:sz w:val="28"/>
          <w:szCs w:val="28"/>
          <w:shd w:val="clear" w:color="auto" w:fill="FFFFFF"/>
        </w:rPr>
        <w:t>kako</w:t>
      </w:r>
      <w:r w:rsidR="00792F35" w:rsidRPr="00B0748B">
        <w:rPr>
          <w:rFonts w:ascii="Times New Roman" w:hAnsi="Times New Roman"/>
          <w:sz w:val="28"/>
          <w:szCs w:val="28"/>
          <w:shd w:val="clear" w:color="auto" w:fill="FFFFFF"/>
        </w:rPr>
        <w:t xml:space="preserve"> postojeći </w:t>
      </w:r>
      <w:r w:rsidR="00747266" w:rsidRPr="00B0748B">
        <w:rPr>
          <w:rFonts w:ascii="Times New Roman" w:hAnsi="Times New Roman"/>
          <w:sz w:val="28"/>
          <w:szCs w:val="28"/>
          <w:shd w:val="clear" w:color="auto" w:fill="FFFFFF"/>
        </w:rPr>
        <w:t>Troškovnik nije realno usklađen s Tehničkim propisom za dimnjake u građevinama („Narodne novine“ broj 03/07)</w:t>
      </w:r>
      <w:r w:rsidR="003A4103" w:rsidRPr="00B0748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B38B1D" w14:textId="77777777" w:rsidR="00747266" w:rsidRDefault="0074726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E5851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sz w:val="28"/>
          <w:szCs w:val="28"/>
          <w:shd w:val="clear" w:color="auto" w:fill="FFFFFF"/>
        </w:rPr>
        <w:t>Stoga je na prijedlog Stručnog povjerenstva odlučeno kao u izreci ove Odluke.</w:t>
      </w:r>
    </w:p>
    <w:p w14:paraId="65BEF470" w14:textId="77777777" w:rsidR="00A34596" w:rsidRPr="004611D3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B464CC" w14:textId="7777777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11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UPUTA O PRAVNOM LIJEKU:</w:t>
      </w:r>
    </w:p>
    <w:p w14:paraId="488BC678" w14:textId="537407C7" w:rsidR="00A34596" w:rsidRPr="004611D3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748B">
        <w:rPr>
          <w:rFonts w:ascii="Times New Roman" w:hAnsi="Times New Roman"/>
          <w:sz w:val="28"/>
          <w:szCs w:val="28"/>
          <w:shd w:val="clear" w:color="auto" w:fill="FFFFFF"/>
        </w:rPr>
        <w:t>Protvi ove Odluke se mo</w:t>
      </w:r>
      <w:r w:rsidR="00E771EB" w:rsidRPr="00B0748B">
        <w:rPr>
          <w:rFonts w:ascii="Times New Roman" w:hAnsi="Times New Roman"/>
          <w:sz w:val="28"/>
          <w:szCs w:val="28"/>
          <w:shd w:val="clear" w:color="auto" w:fill="FFFFFF"/>
        </w:rPr>
        <w:t>ž</w:t>
      </w:r>
      <w:r w:rsidRPr="00B0748B">
        <w:rPr>
          <w:rFonts w:ascii="Times New Roman" w:hAnsi="Times New Roman"/>
          <w:sz w:val="28"/>
          <w:szCs w:val="28"/>
          <w:shd w:val="clear" w:color="auto" w:fill="FFFFFF"/>
        </w:rPr>
        <w:t>e izjaviti žalba. Žalba se izjavljuje Državnoj komisiji za kontrolu postupaka javna nabave, Koturaška cesta 43/IV,</w:t>
      </w:r>
      <w:r w:rsidR="00E771EB" w:rsidRPr="00B07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748B">
        <w:rPr>
          <w:rFonts w:ascii="Times New Roman" w:hAnsi="Times New Roman"/>
          <w:sz w:val="28"/>
          <w:szCs w:val="28"/>
          <w:shd w:val="clear" w:color="auto" w:fill="FFFFFF"/>
        </w:rPr>
        <w:t>10000 Zagreb, a istodobno predaje davatelju koncesije u pisanom obliku izravno ili preporučenom poštanskom pošiljkom u roku od 10 dana od dana primitka ove Odluke.</w:t>
      </w:r>
    </w:p>
    <w:p w14:paraId="3549B3B3" w14:textId="5DABC955" w:rsidR="00A34596" w:rsidRDefault="00A3459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579713" w14:textId="154B7B89" w:rsidR="0053631A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CF0320" w14:textId="77777777" w:rsidR="0053631A" w:rsidRPr="004611D3" w:rsidRDefault="0053631A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B8624D4" w14:textId="77777777" w:rsidR="007620ED" w:rsidRPr="001B2312" w:rsidRDefault="007620ED" w:rsidP="007620ED">
      <w:pPr>
        <w:keepNext/>
        <w:ind w:left="4248" w:firstLine="708"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>Predsjednik Općinskog vijeća</w:t>
      </w:r>
    </w:p>
    <w:p w14:paraId="543FA3F1" w14:textId="33240610" w:rsidR="007620ED" w:rsidRPr="00407060" w:rsidRDefault="007620ED" w:rsidP="007620ED">
      <w:pPr>
        <w:keepNext/>
        <w:rPr>
          <w:sz w:val="28"/>
          <w:szCs w:val="28"/>
          <w:lang w:val="hr-HR"/>
        </w:rPr>
      </w:pP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 w:rsidRPr="001B2312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Stjepan Milas</w:t>
      </w:r>
    </w:p>
    <w:p w14:paraId="49020360" w14:textId="77777777" w:rsidR="00B0748B" w:rsidRDefault="00B0748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BE2B818" w14:textId="77777777" w:rsidR="00B0748B" w:rsidRDefault="00B0748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F15A86" w14:textId="51475A2F" w:rsidR="00B0748B" w:rsidRDefault="00B0748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5B9557" w14:textId="097D0366" w:rsidR="0016243F" w:rsidRDefault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F81CE6" w14:textId="187969EA" w:rsidR="0016243F" w:rsidRDefault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4E0FEFE" w14:textId="46A3069A" w:rsidR="0016243F" w:rsidRDefault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74121DA" w14:textId="18BC9538" w:rsidR="0016243F" w:rsidRDefault="0016243F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4B9B390" w14:textId="13BD2998" w:rsidR="00A34596" w:rsidRPr="006A4028" w:rsidRDefault="006176FE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Dostaviti:</w:t>
      </w:r>
    </w:p>
    <w:p w14:paraId="7672A2F7" w14:textId="6E2FA05F" w:rsid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Internetska stranica Opć</w:t>
      </w: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ine 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Lovas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5E6ACE5B" w14:textId="34285752" w:rsidR="00A34596" w:rsidRPr="006A4028" w:rsidRDefault="006176FE" w:rsidP="006A4028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028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Elektroni</w:t>
      </w:r>
      <w:r w:rsidRPr="006A4028">
        <w:rPr>
          <w:rFonts w:ascii="Times New Roman" w:hAnsi="Times New Roman"/>
          <w:sz w:val="24"/>
          <w:szCs w:val="24"/>
          <w:shd w:val="clear" w:color="auto" w:fill="FFFFFF"/>
        </w:rPr>
        <w:t>čki oglasnik javne nabave Republike Hrvatske</w:t>
      </w:r>
      <w:r w:rsidR="006A4028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25D239F7" w14:textId="049300E7" w:rsidR="00A34596" w:rsidRPr="00AF73EA" w:rsidRDefault="006176FE" w:rsidP="00AF73EA">
      <w:pPr>
        <w:pStyle w:val="Default"/>
        <w:numPr>
          <w:ilvl w:val="0"/>
          <w:numId w:val="4"/>
        </w:num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line="255" w:lineRule="atLeast"/>
        <w:jc w:val="both"/>
        <w:rPr>
          <w:sz w:val="28"/>
          <w:szCs w:val="28"/>
        </w:rPr>
      </w:pPr>
      <w:r w:rsidRPr="00AF73EA">
        <w:rPr>
          <w:rFonts w:ascii="Times New Roman" w:hAnsi="Times New Roman"/>
          <w:sz w:val="24"/>
          <w:szCs w:val="24"/>
          <w:shd w:val="clear" w:color="auto" w:fill="FFFFFF"/>
        </w:rPr>
        <w:t>Pismohrana, ovdje</w:t>
      </w:r>
      <w:r w:rsidR="006A4028" w:rsidRPr="00AF73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A34596" w:rsidRPr="00AF73E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60C70" w14:textId="77777777" w:rsidR="00FD4E42" w:rsidRDefault="00FD4E42">
      <w:r>
        <w:separator/>
      </w:r>
    </w:p>
  </w:endnote>
  <w:endnote w:type="continuationSeparator" w:id="0">
    <w:p w14:paraId="0AD40A20" w14:textId="77777777" w:rsidR="00FD4E42" w:rsidRDefault="00FD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E42C" w14:textId="77777777" w:rsidR="00A34596" w:rsidRDefault="006176FE">
    <w:pPr>
      <w:pStyle w:val="Footer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33DF" w14:textId="77777777" w:rsidR="00FD4E42" w:rsidRDefault="00FD4E42">
      <w:r>
        <w:separator/>
      </w:r>
    </w:p>
  </w:footnote>
  <w:footnote w:type="continuationSeparator" w:id="0">
    <w:p w14:paraId="7ED1AD0D" w14:textId="77777777" w:rsidR="00FD4E42" w:rsidRDefault="00FD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2B51" w14:textId="77777777" w:rsidR="00A34596" w:rsidRDefault="00A345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E76"/>
    <w:multiLevelType w:val="hybridMultilevel"/>
    <w:tmpl w:val="4E4A008C"/>
    <w:numStyleLink w:val="Bullets"/>
  </w:abstractNum>
  <w:abstractNum w:abstractNumId="1" w15:restartNumberingAfterBreak="0">
    <w:nsid w:val="10DA33C3"/>
    <w:multiLevelType w:val="hybridMultilevel"/>
    <w:tmpl w:val="088429A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C63EE2"/>
    <w:multiLevelType w:val="hybridMultilevel"/>
    <w:tmpl w:val="4E4A008C"/>
    <w:styleLink w:val="Bullets"/>
    <w:lvl w:ilvl="0" w:tplc="3258D7EE">
      <w:start w:val="1"/>
      <w:numFmt w:val="bullet"/>
      <w:lvlText w:val="-"/>
      <w:lvlJc w:val="left"/>
      <w:pPr>
        <w:tabs>
          <w:tab w:val="num" w:pos="609"/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5D7A">
      <w:start w:val="1"/>
      <w:numFmt w:val="bullet"/>
      <w:lvlText w:val="-"/>
      <w:lvlJc w:val="left"/>
      <w:pPr>
        <w:tabs>
          <w:tab w:val="left" w:pos="705"/>
          <w:tab w:val="num" w:pos="1209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487B2">
      <w:start w:val="1"/>
      <w:numFmt w:val="bullet"/>
      <w:lvlText w:val="-"/>
      <w:lvlJc w:val="left"/>
      <w:pPr>
        <w:tabs>
          <w:tab w:val="left" w:pos="705"/>
          <w:tab w:val="left" w:pos="1410"/>
          <w:tab w:val="num" w:pos="1809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9E496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num" w:pos="2409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741CA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009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3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CEE04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num" w:pos="36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9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A225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num" w:pos="4209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5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E6110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num" w:pos="4809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51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091A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num" w:pos="5409"/>
          <w:tab w:val="left" w:pos="5640"/>
          <w:tab w:val="left" w:pos="6345"/>
          <w:tab w:val="left" w:pos="7050"/>
          <w:tab w:val="left" w:pos="7755"/>
          <w:tab w:val="left" w:pos="8460"/>
        </w:tabs>
        <w:ind w:left="57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7D3F37"/>
    <w:multiLevelType w:val="hybridMultilevel"/>
    <w:tmpl w:val="AFFE52BA"/>
    <w:lvl w:ilvl="0" w:tplc="607CEF66">
      <w:start w:val="2"/>
      <w:numFmt w:val="bullet"/>
      <w:lvlText w:val="-"/>
      <w:lvlJc w:val="left"/>
      <w:pPr>
        <w:ind w:left="780" w:hanging="360"/>
      </w:pPr>
      <w:rPr>
        <w:rFonts w:ascii="Times New Roman" w:eastAsia="Helvetic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96"/>
    <w:rsid w:val="00145169"/>
    <w:rsid w:val="0016243F"/>
    <w:rsid w:val="002B6717"/>
    <w:rsid w:val="00330AFF"/>
    <w:rsid w:val="00380ECC"/>
    <w:rsid w:val="003A4103"/>
    <w:rsid w:val="003A6A77"/>
    <w:rsid w:val="004611D3"/>
    <w:rsid w:val="0053631A"/>
    <w:rsid w:val="006176FE"/>
    <w:rsid w:val="00626628"/>
    <w:rsid w:val="0065512A"/>
    <w:rsid w:val="006A4028"/>
    <w:rsid w:val="00725439"/>
    <w:rsid w:val="00747266"/>
    <w:rsid w:val="007620ED"/>
    <w:rsid w:val="00792F35"/>
    <w:rsid w:val="007A732D"/>
    <w:rsid w:val="007F5AD4"/>
    <w:rsid w:val="008E00E2"/>
    <w:rsid w:val="00913282"/>
    <w:rsid w:val="009A0C46"/>
    <w:rsid w:val="009C03CF"/>
    <w:rsid w:val="009F096C"/>
    <w:rsid w:val="00A0284B"/>
    <w:rsid w:val="00A34596"/>
    <w:rsid w:val="00AF73EA"/>
    <w:rsid w:val="00B0748B"/>
    <w:rsid w:val="00B50DCC"/>
    <w:rsid w:val="00D43230"/>
    <w:rsid w:val="00D87C47"/>
    <w:rsid w:val="00E771EB"/>
    <w:rsid w:val="00EB7FC7"/>
    <w:rsid w:val="00F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D6E2"/>
  <w15:docId w15:val="{EB44F75D-3626-439B-9368-BB687E7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u w:color="000000"/>
      <w:lang w:val="en-US"/>
    </w:rPr>
  </w:style>
  <w:style w:type="paragraph" w:customStyle="1" w:styleId="Body">
    <w:name w:val="Body"/>
    <w:pPr>
      <w:suppressAutoHyphens/>
      <w:spacing w:before="200"/>
    </w:pPr>
    <w:rPr>
      <w:rFonts w:cs="Arial Unicode MS"/>
      <w:color w:val="000000"/>
      <w:kern w:val="2"/>
      <w:u w:color="000000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Mirka</cp:lastModifiedBy>
  <cp:revision>20</cp:revision>
  <cp:lastPrinted>2018-12-13T12:32:00Z</cp:lastPrinted>
  <dcterms:created xsi:type="dcterms:W3CDTF">2018-12-12T12:57:00Z</dcterms:created>
  <dcterms:modified xsi:type="dcterms:W3CDTF">2019-01-05T16:48:00Z</dcterms:modified>
</cp:coreProperties>
</file>