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B5806" w14:textId="77777777" w:rsidR="00084CA5" w:rsidRDefault="00084CA5" w:rsidP="003B6C2C">
      <w:pPr>
        <w:ind w:left="360"/>
        <w:jc w:val="center"/>
        <w:rPr>
          <w:b/>
          <w:sz w:val="28"/>
          <w:szCs w:val="28"/>
        </w:rPr>
      </w:pPr>
    </w:p>
    <w:p w14:paraId="726C91F4" w14:textId="020D997F" w:rsidR="00084CA5" w:rsidRDefault="00084CA5" w:rsidP="003B6C2C">
      <w:pPr>
        <w:ind w:left="36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C6546F" wp14:editId="79A2021C">
            <wp:extent cx="606140" cy="748145"/>
            <wp:effectExtent l="0" t="0" r="34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1" cy="75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282B2F" w14:textId="77777777" w:rsidR="00084CA5" w:rsidRDefault="00084CA5" w:rsidP="003B6C2C">
      <w:pPr>
        <w:ind w:left="360"/>
        <w:jc w:val="center"/>
        <w:rPr>
          <w:b/>
          <w:sz w:val="28"/>
          <w:szCs w:val="28"/>
        </w:rPr>
      </w:pPr>
    </w:p>
    <w:p w14:paraId="7BAC2A07" w14:textId="77777777" w:rsidR="003B6C2C" w:rsidRPr="003B6C2C" w:rsidRDefault="003B6C2C" w:rsidP="003B6C2C">
      <w:pPr>
        <w:ind w:left="360"/>
        <w:jc w:val="center"/>
        <w:rPr>
          <w:b/>
          <w:sz w:val="28"/>
          <w:szCs w:val="28"/>
        </w:rPr>
      </w:pPr>
      <w:r w:rsidRPr="003B6C2C">
        <w:rPr>
          <w:b/>
          <w:sz w:val="28"/>
          <w:szCs w:val="28"/>
        </w:rPr>
        <w:t>REPUBLIKA HRVATSKA</w:t>
      </w:r>
    </w:p>
    <w:p w14:paraId="16D53B91" w14:textId="636EA39C" w:rsidR="003B6C2C" w:rsidRPr="003B6C2C" w:rsidRDefault="003B6C2C" w:rsidP="003B6C2C">
      <w:pPr>
        <w:ind w:left="360"/>
        <w:jc w:val="center"/>
        <w:rPr>
          <w:b/>
          <w:sz w:val="28"/>
          <w:szCs w:val="28"/>
        </w:rPr>
      </w:pPr>
      <w:r w:rsidRPr="003B6C2C">
        <w:rPr>
          <w:b/>
          <w:sz w:val="28"/>
          <w:szCs w:val="28"/>
        </w:rPr>
        <w:t xml:space="preserve">OPĆINA </w:t>
      </w:r>
      <w:r w:rsidR="00A21933">
        <w:rPr>
          <w:b/>
          <w:sz w:val="28"/>
          <w:szCs w:val="28"/>
        </w:rPr>
        <w:t>LOVAS</w:t>
      </w:r>
    </w:p>
    <w:p w14:paraId="0D5AE83F" w14:textId="25ED223B" w:rsidR="003B6C2C" w:rsidRPr="003B6C2C" w:rsidRDefault="00D3291F" w:rsidP="003B6C2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JEDINSTVENI UPRAVNI ODJEL</w:t>
      </w:r>
    </w:p>
    <w:p w14:paraId="738C5FB2" w14:textId="77777777" w:rsidR="003B6C2C" w:rsidRDefault="003B6C2C" w:rsidP="003B6C2C">
      <w:pPr>
        <w:ind w:left="360"/>
      </w:pPr>
    </w:p>
    <w:p w14:paraId="3507CEB9" w14:textId="77777777" w:rsidR="00084CA5" w:rsidRDefault="00084CA5" w:rsidP="003B6C2C">
      <w:pPr>
        <w:ind w:left="360"/>
      </w:pPr>
    </w:p>
    <w:p w14:paraId="18FD6373" w14:textId="77777777" w:rsidR="003B6C2C" w:rsidRDefault="003B6C2C" w:rsidP="003B6C2C">
      <w:pPr>
        <w:ind w:left="360"/>
      </w:pPr>
    </w:p>
    <w:p w14:paraId="3E207ADF" w14:textId="77777777" w:rsidR="003B6C2C" w:rsidRDefault="003B6C2C" w:rsidP="00D3291F"/>
    <w:p w14:paraId="7F16962C" w14:textId="77777777" w:rsidR="003B6C2C" w:rsidRDefault="003B6C2C" w:rsidP="003B6C2C">
      <w:pPr>
        <w:ind w:left="360"/>
      </w:pPr>
    </w:p>
    <w:p w14:paraId="208C1C09" w14:textId="77777777" w:rsidR="003B6C2C" w:rsidRDefault="003B6C2C" w:rsidP="003B6C2C">
      <w:pPr>
        <w:ind w:left="360"/>
      </w:pPr>
    </w:p>
    <w:p w14:paraId="6FD0B1F1" w14:textId="26878871" w:rsidR="005C48E2" w:rsidRDefault="005C48E2" w:rsidP="00D3291F">
      <w:pPr>
        <w:ind w:left="360"/>
        <w:jc w:val="center"/>
      </w:pPr>
    </w:p>
    <w:p w14:paraId="10632D33" w14:textId="77777777" w:rsidR="003B6C2C" w:rsidRDefault="003B6C2C" w:rsidP="003B6C2C">
      <w:pPr>
        <w:ind w:left="360"/>
      </w:pPr>
    </w:p>
    <w:p w14:paraId="47C9B6D9" w14:textId="77777777" w:rsidR="003B6C2C" w:rsidRDefault="003B6C2C" w:rsidP="003B6C2C">
      <w:pPr>
        <w:ind w:left="360"/>
      </w:pPr>
    </w:p>
    <w:p w14:paraId="0316FB02" w14:textId="77777777" w:rsidR="00D3291F" w:rsidRDefault="003B6C2C" w:rsidP="003B6C2C">
      <w:pPr>
        <w:ind w:left="360"/>
        <w:jc w:val="center"/>
        <w:rPr>
          <w:b/>
          <w:sz w:val="32"/>
          <w:szCs w:val="32"/>
        </w:rPr>
      </w:pPr>
      <w:r w:rsidRPr="003B6C2C">
        <w:rPr>
          <w:b/>
          <w:sz w:val="32"/>
          <w:szCs w:val="32"/>
        </w:rPr>
        <w:t>U</w:t>
      </w:r>
      <w:r w:rsidR="00D3291F" w:rsidRPr="003B6C2C">
        <w:rPr>
          <w:b/>
          <w:sz w:val="32"/>
          <w:szCs w:val="32"/>
        </w:rPr>
        <w:t xml:space="preserve">pute za izradu </w:t>
      </w:r>
      <w:r w:rsidR="00D3291F">
        <w:rPr>
          <w:b/>
          <w:sz w:val="32"/>
          <w:szCs w:val="32"/>
        </w:rPr>
        <w:t xml:space="preserve">prijedloga </w:t>
      </w:r>
      <w:r w:rsidR="00D3291F" w:rsidRPr="003B6C2C">
        <w:rPr>
          <w:b/>
          <w:sz w:val="32"/>
          <w:szCs w:val="32"/>
        </w:rPr>
        <w:t xml:space="preserve">proračuna </w:t>
      </w:r>
    </w:p>
    <w:p w14:paraId="20787AF3" w14:textId="2060D0D3" w:rsidR="003B6C2C" w:rsidRDefault="003B6C2C" w:rsidP="003B6C2C">
      <w:pPr>
        <w:ind w:left="360"/>
        <w:jc w:val="center"/>
        <w:rPr>
          <w:b/>
          <w:sz w:val="32"/>
          <w:szCs w:val="32"/>
        </w:rPr>
      </w:pPr>
      <w:r w:rsidRPr="003B6C2C">
        <w:rPr>
          <w:b/>
          <w:sz w:val="32"/>
          <w:szCs w:val="32"/>
        </w:rPr>
        <w:t>O</w:t>
      </w:r>
      <w:r w:rsidR="00D3291F">
        <w:rPr>
          <w:b/>
          <w:sz w:val="32"/>
          <w:szCs w:val="32"/>
        </w:rPr>
        <w:t xml:space="preserve">pćine </w:t>
      </w:r>
      <w:proofErr w:type="spellStart"/>
      <w:r w:rsidR="00A21933">
        <w:rPr>
          <w:b/>
          <w:sz w:val="32"/>
          <w:szCs w:val="32"/>
        </w:rPr>
        <w:t>Lovas</w:t>
      </w:r>
      <w:proofErr w:type="spellEnd"/>
    </w:p>
    <w:p w14:paraId="111DB0B3" w14:textId="2DBDFBE9" w:rsidR="00D3291F" w:rsidRDefault="00D3291F" w:rsidP="003B6C2C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202</w:t>
      </w:r>
      <w:r w:rsidR="006633E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godinu </w:t>
      </w:r>
    </w:p>
    <w:p w14:paraId="3C5553B6" w14:textId="2E066F86" w:rsidR="00D3291F" w:rsidRPr="003B6C2C" w:rsidRDefault="00D3291F" w:rsidP="003B6C2C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projekcije proračuna za 202</w:t>
      </w:r>
      <w:r w:rsidR="006633E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i 202</w:t>
      </w:r>
      <w:r w:rsidR="006633E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 godinu</w:t>
      </w:r>
    </w:p>
    <w:p w14:paraId="49118721" w14:textId="174ADE4C" w:rsidR="003B6C2C" w:rsidRPr="003B6C2C" w:rsidRDefault="003B6C2C" w:rsidP="003B6C2C">
      <w:pPr>
        <w:ind w:left="360"/>
        <w:jc w:val="center"/>
        <w:rPr>
          <w:b/>
          <w:sz w:val="32"/>
          <w:szCs w:val="32"/>
        </w:rPr>
      </w:pPr>
    </w:p>
    <w:p w14:paraId="4079E870" w14:textId="77777777" w:rsidR="003B6C2C" w:rsidRDefault="003B6C2C" w:rsidP="003B6C2C">
      <w:pPr>
        <w:ind w:left="360"/>
      </w:pPr>
    </w:p>
    <w:p w14:paraId="1FD6D64C" w14:textId="77777777" w:rsidR="003B6C2C" w:rsidRDefault="003B6C2C" w:rsidP="003B6C2C">
      <w:pPr>
        <w:ind w:left="360"/>
      </w:pPr>
    </w:p>
    <w:p w14:paraId="0FE7F1A3" w14:textId="77777777" w:rsidR="003B6C2C" w:rsidRDefault="003B6C2C" w:rsidP="003B6C2C">
      <w:pPr>
        <w:ind w:left="360"/>
      </w:pPr>
    </w:p>
    <w:p w14:paraId="502DAD64" w14:textId="77777777" w:rsidR="003B6C2C" w:rsidRDefault="003B6C2C" w:rsidP="003B6C2C">
      <w:pPr>
        <w:ind w:left="360"/>
      </w:pPr>
    </w:p>
    <w:p w14:paraId="0361B17E" w14:textId="77777777" w:rsidR="003B6C2C" w:rsidRDefault="003B6C2C" w:rsidP="003B6C2C">
      <w:pPr>
        <w:ind w:left="360"/>
      </w:pPr>
    </w:p>
    <w:p w14:paraId="55E2F248" w14:textId="77777777" w:rsidR="003B6C2C" w:rsidRDefault="003B6C2C" w:rsidP="003B6C2C">
      <w:pPr>
        <w:ind w:left="360"/>
      </w:pPr>
    </w:p>
    <w:p w14:paraId="7E75A73E" w14:textId="77777777" w:rsidR="003B6C2C" w:rsidRDefault="003B6C2C" w:rsidP="003B6C2C">
      <w:pPr>
        <w:ind w:left="360"/>
      </w:pPr>
    </w:p>
    <w:p w14:paraId="029DF5BB" w14:textId="77777777" w:rsidR="003B6C2C" w:rsidRDefault="003B6C2C" w:rsidP="003B6C2C">
      <w:pPr>
        <w:ind w:left="360"/>
      </w:pPr>
    </w:p>
    <w:p w14:paraId="00E8B252" w14:textId="77777777" w:rsidR="003B6C2C" w:rsidRDefault="003B6C2C" w:rsidP="003B6C2C">
      <w:pPr>
        <w:ind w:left="360"/>
      </w:pPr>
    </w:p>
    <w:p w14:paraId="7A0DADC8" w14:textId="77777777" w:rsidR="003B6C2C" w:rsidRDefault="003B6C2C" w:rsidP="003B6C2C">
      <w:pPr>
        <w:ind w:left="360"/>
      </w:pPr>
    </w:p>
    <w:p w14:paraId="79D0D91E" w14:textId="77777777" w:rsidR="003B6C2C" w:rsidRDefault="003B6C2C" w:rsidP="003B6C2C">
      <w:pPr>
        <w:ind w:left="360"/>
      </w:pPr>
    </w:p>
    <w:p w14:paraId="5C2650A7" w14:textId="77777777" w:rsidR="003B6C2C" w:rsidRDefault="003B6C2C" w:rsidP="003B6C2C">
      <w:pPr>
        <w:ind w:left="360"/>
      </w:pPr>
    </w:p>
    <w:p w14:paraId="44F10124" w14:textId="77777777" w:rsidR="003B6C2C" w:rsidRDefault="003B6C2C" w:rsidP="003B6C2C">
      <w:pPr>
        <w:ind w:left="360"/>
      </w:pPr>
    </w:p>
    <w:p w14:paraId="6CC5A030" w14:textId="77777777" w:rsidR="003B6C2C" w:rsidRDefault="003B6C2C" w:rsidP="003B6C2C">
      <w:pPr>
        <w:ind w:left="360"/>
      </w:pPr>
    </w:p>
    <w:p w14:paraId="7EE5FEAD" w14:textId="77777777" w:rsidR="000901BD" w:rsidRDefault="000901BD" w:rsidP="000901B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400-06/23-01/01</w:t>
      </w:r>
    </w:p>
    <w:p w14:paraId="5868416F" w14:textId="77777777" w:rsidR="000901BD" w:rsidRDefault="000901BD" w:rsidP="000901B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2196-17-03-23-1</w:t>
      </w:r>
    </w:p>
    <w:p w14:paraId="0AC4851A" w14:textId="39DA85F6" w:rsidR="005C48E2" w:rsidRDefault="000901BD" w:rsidP="000901BD">
      <w:proofErr w:type="spellStart"/>
      <w:r>
        <w:t>Lovas</w:t>
      </w:r>
      <w:proofErr w:type="spellEnd"/>
      <w:r>
        <w:t>. 02. listopada 2023.</w:t>
      </w:r>
    </w:p>
    <w:p w14:paraId="6BBD48C1" w14:textId="77777777" w:rsidR="003B6C2C" w:rsidRDefault="003B6C2C" w:rsidP="003B6C2C">
      <w:pPr>
        <w:ind w:left="360"/>
      </w:pPr>
    </w:p>
    <w:p w14:paraId="579CF299" w14:textId="77777777" w:rsidR="003B6C2C" w:rsidRDefault="003B6C2C" w:rsidP="003B6C2C"/>
    <w:p w14:paraId="4FB91C1B" w14:textId="77777777" w:rsidR="00A21933" w:rsidRDefault="00A21933" w:rsidP="003B6C2C">
      <w:pPr>
        <w:jc w:val="center"/>
        <w:rPr>
          <w:b/>
        </w:rPr>
      </w:pPr>
    </w:p>
    <w:p w14:paraId="1780A808" w14:textId="77777777" w:rsidR="00A21933" w:rsidRDefault="00A21933" w:rsidP="003B6C2C">
      <w:pPr>
        <w:jc w:val="center"/>
        <w:rPr>
          <w:b/>
        </w:rPr>
      </w:pPr>
    </w:p>
    <w:p w14:paraId="4A4355A6" w14:textId="77777777" w:rsidR="00A21933" w:rsidRDefault="00A21933" w:rsidP="003B6C2C">
      <w:pPr>
        <w:jc w:val="center"/>
        <w:rPr>
          <w:b/>
        </w:rPr>
      </w:pPr>
    </w:p>
    <w:p w14:paraId="0157E83D" w14:textId="77777777" w:rsidR="00A21933" w:rsidRDefault="00A21933" w:rsidP="003B6C2C">
      <w:pPr>
        <w:jc w:val="center"/>
        <w:rPr>
          <w:b/>
        </w:rPr>
      </w:pPr>
    </w:p>
    <w:p w14:paraId="3AF29168" w14:textId="77777777" w:rsidR="00A21933" w:rsidRDefault="00A21933" w:rsidP="003B6C2C">
      <w:pPr>
        <w:jc w:val="center"/>
        <w:rPr>
          <w:b/>
        </w:rPr>
      </w:pPr>
    </w:p>
    <w:p w14:paraId="1DCAB5BF" w14:textId="77777777" w:rsidR="00A21933" w:rsidRDefault="00A21933" w:rsidP="000901BD">
      <w:pPr>
        <w:rPr>
          <w:b/>
        </w:rPr>
      </w:pPr>
    </w:p>
    <w:p w14:paraId="0F51F3AE" w14:textId="77777777" w:rsidR="000901BD" w:rsidRDefault="000901BD" w:rsidP="000901BD">
      <w:pPr>
        <w:rPr>
          <w:b/>
        </w:rPr>
      </w:pPr>
    </w:p>
    <w:p w14:paraId="7DD50A8A" w14:textId="77777777" w:rsidR="00410DCB" w:rsidRPr="00B03C5A" w:rsidRDefault="00410DCB" w:rsidP="00B03C5A">
      <w:pPr>
        <w:ind w:left="360"/>
      </w:pPr>
      <w:bookmarkStart w:id="0" w:name="_GoBack"/>
      <w:bookmarkEnd w:id="0"/>
    </w:p>
    <w:p w14:paraId="710257D3" w14:textId="77777777" w:rsidR="007F606E" w:rsidRPr="00185A28" w:rsidRDefault="00B03C5A" w:rsidP="00185A28">
      <w:pPr>
        <w:pStyle w:val="Odlomakpopisa"/>
        <w:numPr>
          <w:ilvl w:val="0"/>
          <w:numId w:val="2"/>
        </w:numPr>
        <w:jc w:val="both"/>
        <w:rPr>
          <w:b/>
        </w:rPr>
      </w:pPr>
      <w:r w:rsidRPr="00185A28">
        <w:rPr>
          <w:b/>
        </w:rPr>
        <w:t>UVOD</w:t>
      </w:r>
    </w:p>
    <w:p w14:paraId="01F0380F" w14:textId="77777777" w:rsidR="007F606E" w:rsidRPr="00185A28" w:rsidRDefault="007F606E" w:rsidP="00185A28">
      <w:pPr>
        <w:jc w:val="both"/>
      </w:pPr>
    </w:p>
    <w:p w14:paraId="77A35B68" w14:textId="76529D23" w:rsidR="00A05C2E" w:rsidRDefault="00A05C2E" w:rsidP="00A05C2E">
      <w:pPr>
        <w:jc w:val="both"/>
      </w:pPr>
      <w:r w:rsidRPr="00185A28">
        <w:t>Sukladno odredbama članka 2</w:t>
      </w:r>
      <w:r w:rsidR="00D3291F">
        <w:t>6</w:t>
      </w:r>
      <w:r w:rsidRPr="00185A28">
        <w:t>. Zakona o proračunu (</w:t>
      </w:r>
      <w:r w:rsidR="00D3291F">
        <w:t>„</w:t>
      </w:r>
      <w:r w:rsidRPr="00185A28">
        <w:t>N</w:t>
      </w:r>
      <w:r w:rsidR="00D3291F">
        <w:t>arodne novine“ broj</w:t>
      </w:r>
      <w:r w:rsidRPr="00185A28">
        <w:t xml:space="preserve"> </w:t>
      </w:r>
      <w:r w:rsidR="00D3291F">
        <w:t>144/21</w:t>
      </w:r>
      <w:r w:rsidRPr="00185A28">
        <w:t xml:space="preserve">) </w:t>
      </w:r>
      <w:r w:rsidR="00D3291F">
        <w:t xml:space="preserve">Jedinstveni upravni odjel Općine </w:t>
      </w:r>
      <w:proofErr w:type="spellStart"/>
      <w:r w:rsidR="00A21933">
        <w:t>Lovas</w:t>
      </w:r>
      <w:proofErr w:type="spellEnd"/>
      <w:r w:rsidR="00A21933">
        <w:t xml:space="preserve"> </w:t>
      </w:r>
      <w:r>
        <w:t xml:space="preserve">sastavlja </w:t>
      </w:r>
      <w:r w:rsidRPr="00185A28">
        <w:t xml:space="preserve">Upute za izradu Proračuna Općine </w:t>
      </w:r>
      <w:proofErr w:type="spellStart"/>
      <w:r w:rsidR="00A21933">
        <w:t>Lovas</w:t>
      </w:r>
      <w:proofErr w:type="spellEnd"/>
      <w:r w:rsidRPr="00185A28">
        <w:t xml:space="preserve"> i financijskih planova proračunskog korisnika za razdoblje od 20</w:t>
      </w:r>
      <w:r>
        <w:t>2</w:t>
      </w:r>
      <w:r w:rsidR="006633E9">
        <w:t>4</w:t>
      </w:r>
      <w:r w:rsidRPr="00185A28">
        <w:t>. – 202</w:t>
      </w:r>
      <w:r w:rsidR="006633E9">
        <w:t>6</w:t>
      </w:r>
      <w:r w:rsidRPr="00185A28">
        <w:t>. godine.</w:t>
      </w:r>
    </w:p>
    <w:p w14:paraId="50F69B52" w14:textId="77777777" w:rsidR="003146CD" w:rsidRPr="00185A28" w:rsidRDefault="003146CD" w:rsidP="00A05C2E">
      <w:pPr>
        <w:jc w:val="both"/>
      </w:pPr>
    </w:p>
    <w:p w14:paraId="1FB170FB" w14:textId="3ADDA012" w:rsidR="00A05C2E" w:rsidRPr="00185A28" w:rsidRDefault="006633E9" w:rsidP="00A05C2E">
      <w:pPr>
        <w:jc w:val="both"/>
      </w:pPr>
      <w:r>
        <w:t xml:space="preserve">Ministarstvo financija je u rujnu 2023. godine izradilo </w:t>
      </w:r>
      <w:r w:rsidR="003C0034">
        <w:t>Upute za izradu proračuna jedinica lokalne i područne (regionalne) samouprave za razdoblje 2024. 2026. (dalje u tekstu: Upute)</w:t>
      </w:r>
    </w:p>
    <w:p w14:paraId="75481F01" w14:textId="77777777" w:rsidR="003D2285" w:rsidRPr="00185A28" w:rsidRDefault="003D2285" w:rsidP="00185A28">
      <w:pPr>
        <w:jc w:val="both"/>
      </w:pPr>
    </w:p>
    <w:p w14:paraId="6ADA50B0" w14:textId="77777777" w:rsidR="003D2285" w:rsidRPr="00BE025A" w:rsidRDefault="003D2285" w:rsidP="001731FC">
      <w:pPr>
        <w:jc w:val="both"/>
      </w:pPr>
      <w:r w:rsidRPr="00185A28">
        <w:t>Dostavljene u</w:t>
      </w:r>
      <w:r w:rsidR="007D0C1B" w:rsidRPr="00185A28">
        <w:t>pute</w:t>
      </w:r>
      <w:r w:rsidRPr="00185A28">
        <w:t xml:space="preserve"> Ministarstva financija</w:t>
      </w:r>
      <w:r w:rsidR="007D0C1B" w:rsidRPr="00185A28">
        <w:t xml:space="preserve"> sadrže:</w:t>
      </w:r>
    </w:p>
    <w:p w14:paraId="188A8547" w14:textId="4EAA1BDE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temeljne makroekonomske pokazatelje za razdoblje 202</w:t>
      </w:r>
      <w:r w:rsidR="003C0034">
        <w:rPr>
          <w:rFonts w:eastAsiaTheme="minorHAnsi"/>
          <w:color w:val="000000"/>
          <w:lang w:eastAsia="en-US"/>
        </w:rPr>
        <w:t>4</w:t>
      </w:r>
      <w:r w:rsidRPr="001731FC">
        <w:rPr>
          <w:rFonts w:eastAsiaTheme="minorHAnsi"/>
          <w:color w:val="000000"/>
          <w:lang w:eastAsia="en-US"/>
        </w:rPr>
        <w:t>. – 202</w:t>
      </w:r>
      <w:r w:rsidR="003C0034">
        <w:rPr>
          <w:rFonts w:eastAsiaTheme="minorHAnsi"/>
          <w:color w:val="000000"/>
          <w:lang w:eastAsia="en-US"/>
        </w:rPr>
        <w:t>6</w:t>
      </w:r>
      <w:r w:rsidRPr="001731FC">
        <w:rPr>
          <w:rFonts w:eastAsiaTheme="minorHAnsi"/>
          <w:color w:val="000000"/>
          <w:lang w:eastAsia="en-US"/>
        </w:rPr>
        <w:t>.,</w:t>
      </w:r>
    </w:p>
    <w:p w14:paraId="052BD8F2" w14:textId="42AD7E21" w:rsidR="001731FC" w:rsidRDefault="003C0034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zakonske odredbe u svezi</w:t>
      </w:r>
      <w:r w:rsidR="001731FC" w:rsidRPr="001731FC">
        <w:rPr>
          <w:rFonts w:eastAsiaTheme="minorHAnsi"/>
          <w:color w:val="000000"/>
          <w:lang w:eastAsia="en-US"/>
        </w:rPr>
        <w:t xml:space="preserve"> izrad</w:t>
      </w:r>
      <w:r>
        <w:rPr>
          <w:rFonts w:eastAsiaTheme="minorHAnsi"/>
          <w:color w:val="000000"/>
          <w:lang w:eastAsia="en-US"/>
        </w:rPr>
        <w:t>e</w:t>
      </w:r>
      <w:r w:rsidR="001731FC" w:rsidRPr="001731FC">
        <w:rPr>
          <w:rFonts w:eastAsiaTheme="minorHAnsi"/>
          <w:color w:val="000000"/>
          <w:lang w:eastAsia="en-US"/>
        </w:rPr>
        <w:t xml:space="preserve"> proračuna i financijskih planova temeljem novog Zakona o proračunu</w:t>
      </w:r>
      <w:r>
        <w:rPr>
          <w:rFonts w:eastAsiaTheme="minorHAnsi"/>
          <w:color w:val="000000"/>
          <w:lang w:eastAsia="en-US"/>
        </w:rPr>
        <w:t xml:space="preserve"> koji je na snazi od 01. siječnja 2022. godine</w:t>
      </w:r>
      <w:r w:rsidR="001731FC" w:rsidRPr="001731FC">
        <w:rPr>
          <w:rFonts w:eastAsiaTheme="minorHAnsi"/>
          <w:color w:val="000000"/>
          <w:lang w:eastAsia="en-US"/>
        </w:rPr>
        <w:t>,</w:t>
      </w:r>
    </w:p>
    <w:p w14:paraId="76E47CF0" w14:textId="77777777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sadržaj uputa koje pripremaju upravna tijela za financije,</w:t>
      </w:r>
    </w:p>
    <w:p w14:paraId="6C734C4A" w14:textId="77777777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metodologiju izrade proračuna i financijskog plana proračunskih i izvanproračunskih korisnika,</w:t>
      </w:r>
    </w:p>
    <w:p w14:paraId="0823476A" w14:textId="77777777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dostavu dokumenata i unos podataka,</w:t>
      </w:r>
    </w:p>
    <w:p w14:paraId="41E70A59" w14:textId="77777777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planiranje rashoda proračunskih korisnika u sklopu decentraliziranih funkcija,</w:t>
      </w:r>
    </w:p>
    <w:p w14:paraId="1980556B" w14:textId="77777777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postupanje s viškovima u sklopu decentraliziranih funkcija,</w:t>
      </w:r>
    </w:p>
    <w:p w14:paraId="33FBAC51" w14:textId="3B5D822B" w:rsidR="001731FC" w:rsidRDefault="003C0034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novosti u svezi izmjene poreznih propisa i izmjena Zakona o financiranju jedinaca lokalne i područne (regionalne) samouprave</w:t>
      </w:r>
    </w:p>
    <w:p w14:paraId="26511387" w14:textId="77777777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bitne odrednice iz Odluke o kriterijima za dodjelu pomoći na ime poticaja za dobrovoljno funkcionalno odnosno stvarno spajanje jedinica lokalne samouprave,</w:t>
      </w:r>
    </w:p>
    <w:p w14:paraId="3E32531C" w14:textId="4AF42C02" w:rsidR="003C0034" w:rsidRDefault="001731FC" w:rsidP="003C0034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planiranje proračunskih sredstava za vijeća, koordinacije vijeća i predstavnike</w:t>
      </w:r>
      <w:r>
        <w:rPr>
          <w:rFonts w:eastAsiaTheme="minorHAnsi"/>
          <w:color w:val="000000"/>
          <w:lang w:eastAsia="en-US"/>
        </w:rPr>
        <w:t xml:space="preserve"> </w:t>
      </w:r>
      <w:r w:rsidRPr="001731FC">
        <w:rPr>
          <w:rFonts w:eastAsiaTheme="minorHAnsi"/>
          <w:color w:val="000000"/>
          <w:lang w:eastAsia="en-US"/>
        </w:rPr>
        <w:t xml:space="preserve">nacionalnih manjina </w:t>
      </w:r>
    </w:p>
    <w:p w14:paraId="56D96E2A" w14:textId="77777777" w:rsidR="003C0034" w:rsidRPr="005C48E2" w:rsidRDefault="003C0034" w:rsidP="005C48E2">
      <w:pPr>
        <w:suppressAutoHyphens w:val="0"/>
        <w:autoSpaceDE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</w:p>
    <w:p w14:paraId="3D295E6A" w14:textId="7FF893AB" w:rsidR="003D2285" w:rsidRPr="001731FC" w:rsidRDefault="003D2285" w:rsidP="001731FC">
      <w:p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 xml:space="preserve">Temeljem uputa Ministarstva financija, </w:t>
      </w:r>
      <w:r w:rsidR="001731FC">
        <w:rPr>
          <w:rFonts w:eastAsiaTheme="minorHAnsi"/>
          <w:color w:val="000000"/>
          <w:lang w:eastAsia="en-US"/>
        </w:rPr>
        <w:t xml:space="preserve">Jedinstveni upravni odjel Općine </w:t>
      </w:r>
      <w:proofErr w:type="spellStart"/>
      <w:r w:rsidR="00A21933">
        <w:rPr>
          <w:rFonts w:eastAsiaTheme="minorHAnsi"/>
          <w:color w:val="000000"/>
          <w:lang w:eastAsia="en-US"/>
        </w:rPr>
        <w:t>Lovas</w:t>
      </w:r>
      <w:proofErr w:type="spellEnd"/>
      <w:r w:rsidR="00F87476" w:rsidRPr="001731FC">
        <w:rPr>
          <w:rFonts w:eastAsiaTheme="minorHAnsi"/>
          <w:color w:val="000000"/>
          <w:lang w:eastAsia="en-US"/>
        </w:rPr>
        <w:t xml:space="preserve"> </w:t>
      </w:r>
      <w:r w:rsidRPr="001731FC">
        <w:rPr>
          <w:rFonts w:eastAsiaTheme="minorHAnsi"/>
          <w:color w:val="000000"/>
          <w:lang w:eastAsia="en-US"/>
        </w:rPr>
        <w:t>izradi</w:t>
      </w:r>
      <w:r w:rsidR="001731FC">
        <w:rPr>
          <w:rFonts w:eastAsiaTheme="minorHAnsi"/>
          <w:color w:val="000000"/>
          <w:lang w:eastAsia="en-US"/>
        </w:rPr>
        <w:t>o</w:t>
      </w:r>
      <w:r w:rsidR="00F87476" w:rsidRPr="001731FC">
        <w:rPr>
          <w:rFonts w:eastAsiaTheme="minorHAnsi"/>
          <w:color w:val="000000"/>
          <w:lang w:eastAsia="en-US"/>
        </w:rPr>
        <w:t xml:space="preserve"> je ove Upute za izradu Proračuna </w:t>
      </w:r>
      <w:r w:rsidR="001731FC">
        <w:rPr>
          <w:rFonts w:eastAsiaTheme="minorHAnsi"/>
          <w:color w:val="000000"/>
          <w:lang w:eastAsia="en-US"/>
        </w:rPr>
        <w:t xml:space="preserve">Općine </w:t>
      </w:r>
      <w:proofErr w:type="spellStart"/>
      <w:r w:rsidR="00A21933">
        <w:rPr>
          <w:rFonts w:eastAsiaTheme="minorHAnsi"/>
          <w:color w:val="000000"/>
          <w:lang w:eastAsia="en-US"/>
        </w:rPr>
        <w:t>Lovas</w:t>
      </w:r>
      <w:proofErr w:type="spellEnd"/>
      <w:r w:rsidR="00F87476" w:rsidRPr="001731FC">
        <w:rPr>
          <w:rFonts w:eastAsiaTheme="minorHAnsi"/>
          <w:color w:val="000000"/>
          <w:lang w:eastAsia="en-US"/>
        </w:rPr>
        <w:t xml:space="preserve"> za razdoblje 20</w:t>
      </w:r>
      <w:r w:rsidR="00A05C2E" w:rsidRPr="001731FC">
        <w:rPr>
          <w:rFonts w:eastAsiaTheme="minorHAnsi"/>
          <w:color w:val="000000"/>
          <w:lang w:eastAsia="en-US"/>
        </w:rPr>
        <w:t>2</w:t>
      </w:r>
      <w:r w:rsidR="003C0034">
        <w:rPr>
          <w:rFonts w:eastAsiaTheme="minorHAnsi"/>
          <w:color w:val="000000"/>
          <w:lang w:eastAsia="en-US"/>
        </w:rPr>
        <w:t>4</w:t>
      </w:r>
      <w:r w:rsidR="00F87476" w:rsidRPr="001731FC">
        <w:rPr>
          <w:rFonts w:eastAsiaTheme="minorHAnsi"/>
          <w:color w:val="000000"/>
          <w:lang w:eastAsia="en-US"/>
        </w:rPr>
        <w:t>. – 202</w:t>
      </w:r>
      <w:r w:rsidR="003C0034">
        <w:rPr>
          <w:rFonts w:eastAsiaTheme="minorHAnsi"/>
          <w:color w:val="000000"/>
          <w:lang w:eastAsia="en-US"/>
        </w:rPr>
        <w:t>6</w:t>
      </w:r>
      <w:r w:rsidR="00F87476" w:rsidRPr="001731FC">
        <w:rPr>
          <w:rFonts w:eastAsiaTheme="minorHAnsi"/>
          <w:color w:val="000000"/>
          <w:lang w:eastAsia="en-US"/>
        </w:rPr>
        <w:t>. godine.</w:t>
      </w:r>
    </w:p>
    <w:p w14:paraId="7717E258" w14:textId="77777777" w:rsidR="00BE025A" w:rsidRDefault="00BE025A" w:rsidP="001731FC">
      <w:p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A534200" w14:textId="77777777" w:rsidR="00D73A7C" w:rsidRPr="001717AF" w:rsidRDefault="00F87476" w:rsidP="00185A28">
      <w:pPr>
        <w:suppressAutoHyphens w:val="0"/>
        <w:autoSpaceDE w:val="0"/>
        <w:adjustRightInd w:val="0"/>
        <w:jc w:val="both"/>
        <w:rPr>
          <w:rFonts w:eastAsiaTheme="minorHAnsi"/>
          <w:lang w:eastAsia="en-US"/>
        </w:rPr>
      </w:pPr>
      <w:r w:rsidRPr="001717AF">
        <w:rPr>
          <w:rFonts w:eastAsiaTheme="minorHAnsi"/>
          <w:lang w:eastAsia="en-US"/>
        </w:rPr>
        <w:t>Ove upute sadrže:</w:t>
      </w:r>
    </w:p>
    <w:p w14:paraId="21399B48" w14:textId="7CADD194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 xml:space="preserve">temeljne makroekonomske pretpostavke za izradu prijedloga proračuna </w:t>
      </w:r>
      <w:r>
        <w:rPr>
          <w:rFonts w:eastAsiaTheme="minorHAnsi"/>
          <w:color w:val="000000"/>
          <w:lang w:eastAsia="en-US"/>
        </w:rPr>
        <w:t xml:space="preserve">Općine </w:t>
      </w:r>
      <w:proofErr w:type="spellStart"/>
      <w:r w:rsidR="00A21933">
        <w:rPr>
          <w:rFonts w:eastAsiaTheme="minorHAnsi"/>
          <w:color w:val="000000"/>
          <w:lang w:eastAsia="en-US"/>
        </w:rPr>
        <w:t>Lovas</w:t>
      </w:r>
      <w:proofErr w:type="spellEnd"/>
      <w:r>
        <w:rPr>
          <w:rFonts w:eastAsiaTheme="minorHAnsi"/>
          <w:color w:val="000000"/>
          <w:lang w:eastAsia="en-US"/>
        </w:rPr>
        <w:t>,</w:t>
      </w:r>
    </w:p>
    <w:p w14:paraId="37666C2E" w14:textId="747C0F85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 xml:space="preserve">opis planiranih politika </w:t>
      </w:r>
      <w:r>
        <w:rPr>
          <w:rFonts w:eastAsiaTheme="minorHAnsi"/>
          <w:color w:val="000000"/>
          <w:lang w:eastAsia="en-US"/>
        </w:rPr>
        <w:t xml:space="preserve">Općine </w:t>
      </w:r>
      <w:proofErr w:type="spellStart"/>
      <w:r w:rsidR="00A21933">
        <w:rPr>
          <w:rFonts w:eastAsiaTheme="minorHAnsi"/>
          <w:color w:val="000000"/>
          <w:lang w:eastAsia="en-US"/>
        </w:rPr>
        <w:t>Lovas</w:t>
      </w:r>
      <w:proofErr w:type="spellEnd"/>
    </w:p>
    <w:p w14:paraId="35FDCA0B" w14:textId="77777777" w:rsid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procjenu prihoda i rashoda te primitaka i izdataka proračuna u sljedeće tri godine</w:t>
      </w:r>
    </w:p>
    <w:p w14:paraId="780AD21C" w14:textId="5E7EDE66" w:rsidR="001731FC" w:rsidRPr="001731FC" w:rsidRDefault="001731FC" w:rsidP="001731FC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 xml:space="preserve">visinu rashoda koji se financiraju iz općih prihoda i primitaka te namjenskih primitaka </w:t>
      </w:r>
      <w:r>
        <w:rPr>
          <w:rFonts w:eastAsiaTheme="minorHAnsi"/>
          <w:color w:val="000000"/>
          <w:lang w:eastAsia="en-US"/>
        </w:rPr>
        <w:t xml:space="preserve"> </w:t>
      </w:r>
      <w:r w:rsidRPr="001731FC">
        <w:rPr>
          <w:rFonts w:eastAsiaTheme="minorHAnsi"/>
          <w:color w:val="000000"/>
          <w:lang w:eastAsia="en-US"/>
        </w:rPr>
        <w:t>po razdjelima organizacijske klasifikacije, za iduću proračunsku godinu i za sljedeće dvije godine, raspoređenu na:</w:t>
      </w:r>
    </w:p>
    <w:p w14:paraId="22D4231E" w14:textId="77777777" w:rsidR="001731FC" w:rsidRDefault="001731FC" w:rsidP="001731FC">
      <w:pPr>
        <w:pStyle w:val="Odlomakpopisa"/>
        <w:numPr>
          <w:ilvl w:val="0"/>
          <w:numId w:val="18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visinu rashoda potrebnih za provedbu postojećih programa odnosno aktivnosti, koje proizlaze iz važećih propisa i</w:t>
      </w:r>
    </w:p>
    <w:p w14:paraId="2953EFE8" w14:textId="6F4A8C2D" w:rsidR="001731FC" w:rsidRPr="001731FC" w:rsidRDefault="001731FC" w:rsidP="001731FC">
      <w:pPr>
        <w:pStyle w:val="Odlomakpopisa"/>
        <w:numPr>
          <w:ilvl w:val="0"/>
          <w:numId w:val="18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lastRenderedPageBreak/>
        <w:t>visinu rashoda potrebnih za uvođenje i provedbu novih ili promjenu postojećih programa odnosno aktivnosti</w:t>
      </w:r>
    </w:p>
    <w:p w14:paraId="5EF84931" w14:textId="77777777" w:rsidR="001731FC" w:rsidRDefault="001731FC" w:rsidP="001731FC">
      <w:pPr>
        <w:pStyle w:val="Odlomakpopisa"/>
        <w:numPr>
          <w:ilvl w:val="0"/>
          <w:numId w:val="20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 xml:space="preserve">visinu manjka odnosno viška prihoda nad rashodima po izvanproračunskom korisniku </w:t>
      </w:r>
      <w:r>
        <w:rPr>
          <w:rFonts w:eastAsiaTheme="minorHAnsi"/>
          <w:color w:val="000000"/>
          <w:lang w:eastAsia="en-US"/>
        </w:rPr>
        <w:t xml:space="preserve"> </w:t>
      </w:r>
      <w:r w:rsidRPr="001731FC">
        <w:rPr>
          <w:rFonts w:eastAsiaTheme="minorHAnsi"/>
          <w:color w:val="000000"/>
          <w:lang w:eastAsia="en-US"/>
        </w:rPr>
        <w:t>jedinice lokalne i područne (regionalne) samouprave, za iduću proračunsku godinu i za sljedeće dvije godine i</w:t>
      </w:r>
    </w:p>
    <w:p w14:paraId="7C0BBB84" w14:textId="24DC97B0" w:rsidR="003D2285" w:rsidRPr="001731FC" w:rsidRDefault="001731FC" w:rsidP="001731FC">
      <w:pPr>
        <w:pStyle w:val="Odlomakpopisa"/>
        <w:numPr>
          <w:ilvl w:val="0"/>
          <w:numId w:val="20"/>
        </w:numPr>
        <w:suppressAutoHyphens w:val="0"/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1731FC">
        <w:rPr>
          <w:rFonts w:eastAsiaTheme="minorHAnsi"/>
          <w:color w:val="000000"/>
          <w:lang w:eastAsia="en-US"/>
        </w:rPr>
        <w:t>način izrade i rok za dostavu prijedloga financijskih planova proračunskih i izvanproračunskih korisnika.</w:t>
      </w:r>
    </w:p>
    <w:p w14:paraId="3BA5C07B" w14:textId="77777777" w:rsidR="00F17ECD" w:rsidRDefault="00F17ECD" w:rsidP="00185A28">
      <w:pPr>
        <w:jc w:val="both"/>
      </w:pPr>
    </w:p>
    <w:p w14:paraId="6925B6B4" w14:textId="55D546EE" w:rsidR="007D0C1B" w:rsidRPr="00185A28" w:rsidRDefault="00AF40D1" w:rsidP="00185A28">
      <w:pPr>
        <w:jc w:val="both"/>
      </w:pPr>
      <w:r w:rsidRPr="00185A28">
        <w:t xml:space="preserve">Pri izradi prijedloga financijskog plana proračunski korisnik proračuna Općine </w:t>
      </w:r>
      <w:proofErr w:type="spellStart"/>
      <w:r w:rsidR="00A21933">
        <w:t>Lovas</w:t>
      </w:r>
      <w:proofErr w:type="spellEnd"/>
      <w:r w:rsidRPr="00185A28">
        <w:t xml:space="preserve"> ob</w:t>
      </w:r>
      <w:r w:rsidR="00C83117" w:rsidRPr="00185A28">
        <w:t>vezan se pridržavati ovih uputa</w:t>
      </w:r>
      <w:r w:rsidRPr="00185A28">
        <w:t xml:space="preserve">. Čelnik proračunskog korisnika odgovoran je za zakonito i pravilno planiranje i izvršavanje financijskog plana i u skladu s određenim limitima. </w:t>
      </w:r>
      <w:r w:rsidR="007D0C1B" w:rsidRPr="00185A28">
        <w:t xml:space="preserve">                                             </w:t>
      </w:r>
    </w:p>
    <w:p w14:paraId="15DE47CF" w14:textId="7D90EF92" w:rsidR="00D73A7C" w:rsidRDefault="00D73A7C" w:rsidP="00185A28">
      <w:pPr>
        <w:jc w:val="both"/>
        <w:rPr>
          <w:b/>
          <w:bCs/>
        </w:rPr>
      </w:pPr>
    </w:p>
    <w:p w14:paraId="03F9CF50" w14:textId="2865A7CD" w:rsidR="00A73092" w:rsidRPr="003C0034" w:rsidRDefault="00A73092" w:rsidP="00A73092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A73092">
        <w:rPr>
          <w:b/>
          <w:bCs/>
        </w:rPr>
        <w:t>NAJZNAČAJNIJE PROMJENE U IZRADI PRORAČUNA ZA RAZDOBLJE 202</w:t>
      </w:r>
      <w:r w:rsidR="003C0034">
        <w:rPr>
          <w:b/>
          <w:bCs/>
        </w:rPr>
        <w:t>4</w:t>
      </w:r>
      <w:r w:rsidRPr="00A73092">
        <w:rPr>
          <w:b/>
          <w:bCs/>
        </w:rPr>
        <w:t>.-202</w:t>
      </w:r>
      <w:r w:rsidR="003C0034">
        <w:rPr>
          <w:b/>
          <w:bCs/>
        </w:rPr>
        <w:t>6</w:t>
      </w:r>
      <w:r w:rsidRPr="00A73092">
        <w:t>.</w:t>
      </w:r>
    </w:p>
    <w:p w14:paraId="17FEB9A1" w14:textId="77777777" w:rsidR="003C0034" w:rsidRPr="00A73092" w:rsidRDefault="003C0034" w:rsidP="003C0034">
      <w:pPr>
        <w:pStyle w:val="Odlomakpopisa"/>
        <w:jc w:val="both"/>
        <w:rPr>
          <w:b/>
          <w:bCs/>
        </w:rPr>
      </w:pPr>
    </w:p>
    <w:p w14:paraId="2192D7A0" w14:textId="77777777" w:rsidR="00A73092" w:rsidRPr="00A73092" w:rsidRDefault="00A73092" w:rsidP="00A73092">
      <w:pPr>
        <w:jc w:val="both"/>
        <w:rPr>
          <w:b/>
          <w:bCs/>
          <w:i/>
          <w:iCs/>
        </w:rPr>
      </w:pPr>
      <w:r w:rsidRPr="00A73092">
        <w:rPr>
          <w:b/>
          <w:bCs/>
          <w:i/>
          <w:iCs/>
        </w:rPr>
        <w:t>Uvođenje eura kao službene valute u RH od 1.1.2023. godine</w:t>
      </w:r>
    </w:p>
    <w:p w14:paraId="2B26D4B1" w14:textId="20B0E33B" w:rsidR="00A73092" w:rsidRPr="00A73092" w:rsidRDefault="00A73092" w:rsidP="00A73092">
      <w:pPr>
        <w:jc w:val="both"/>
      </w:pPr>
      <w:r w:rsidRPr="00A73092">
        <w:t>Zakon o uvođenju eura kao službene valute u RH (objavljen je u Narodnim novinama broj</w:t>
      </w:r>
      <w:r>
        <w:t xml:space="preserve"> </w:t>
      </w:r>
      <w:r w:rsidRPr="00A73092">
        <w:t>57/2022 od 20.5.2022.), propisuje da se iznosi u Uputama za izradu proračuna za razdoblje</w:t>
      </w:r>
      <w:r>
        <w:t xml:space="preserve"> </w:t>
      </w:r>
      <w:r w:rsidRPr="00A73092">
        <w:t xml:space="preserve">od 2023.-2025. godine </w:t>
      </w:r>
      <w:r w:rsidR="00A167C1">
        <w:t xml:space="preserve"> </w:t>
      </w:r>
      <w:r w:rsidRPr="00A73092">
        <w:t xml:space="preserve">iskazuju u eurima, </w:t>
      </w:r>
      <w:r w:rsidR="005C48E2">
        <w:t>tako da se i za razdoblje</w:t>
      </w:r>
      <w:r w:rsidR="00A167C1">
        <w:t xml:space="preserve"> 2024.</w:t>
      </w:r>
      <w:r w:rsidR="005C48E2">
        <w:t xml:space="preserve"> -</w:t>
      </w:r>
      <w:r w:rsidR="00A167C1">
        <w:t xml:space="preserve"> 2026. godinu</w:t>
      </w:r>
      <w:r w:rsidR="005C48E2">
        <w:t xml:space="preserve"> svi podaci iskazuju u eurima.</w:t>
      </w:r>
    </w:p>
    <w:p w14:paraId="2F7806F4" w14:textId="329F8796" w:rsidR="00A73092" w:rsidRDefault="00A73092" w:rsidP="00A73092">
      <w:pPr>
        <w:jc w:val="both"/>
      </w:pPr>
      <w:r w:rsidRPr="00A73092">
        <w:t>Vijeće za ekonomske i financijske poslove EU-a je dana 12. srpnja donijelo odluku o</w:t>
      </w:r>
      <w:r>
        <w:t xml:space="preserve"> </w:t>
      </w:r>
      <w:r w:rsidRPr="00A73092">
        <w:t>prihvaćanju eura kao službene Valute u RH te odluku o tečaju konverzije kune u euro, 1 euro</w:t>
      </w:r>
      <w:r>
        <w:t xml:space="preserve"> </w:t>
      </w:r>
      <w:r w:rsidRPr="00A73092">
        <w:t>= 7,53450 kuna.</w:t>
      </w:r>
    </w:p>
    <w:p w14:paraId="2D216567" w14:textId="77777777" w:rsidR="00A73092" w:rsidRPr="00A73092" w:rsidRDefault="00A73092" w:rsidP="00A73092">
      <w:pPr>
        <w:jc w:val="both"/>
      </w:pPr>
    </w:p>
    <w:p w14:paraId="2AAF945C" w14:textId="77777777" w:rsidR="00A73092" w:rsidRPr="00A73092" w:rsidRDefault="00A73092" w:rsidP="00A73092">
      <w:pPr>
        <w:jc w:val="both"/>
        <w:rPr>
          <w:b/>
          <w:bCs/>
          <w:i/>
          <w:iCs/>
        </w:rPr>
      </w:pPr>
      <w:r w:rsidRPr="00A73092">
        <w:rPr>
          <w:b/>
          <w:bCs/>
          <w:i/>
          <w:iCs/>
        </w:rPr>
        <w:t>Novi Zakon o proračunu</w:t>
      </w:r>
    </w:p>
    <w:p w14:paraId="3C439EE3" w14:textId="4CF1A1E6" w:rsidR="00A73092" w:rsidRDefault="00A73092" w:rsidP="00A73092">
      <w:pPr>
        <w:jc w:val="both"/>
      </w:pPr>
      <w:r w:rsidRPr="00A73092">
        <w:t>Novi Zakon o proračunu je donesen krajem 2021. godine (objavljen je u Narodnim novinama</w:t>
      </w:r>
      <w:r>
        <w:t xml:space="preserve"> </w:t>
      </w:r>
      <w:r w:rsidRPr="00A73092">
        <w:t>broj 144/21 od 27.12.2021.), a stupio je na snagu 1.1.2022. godine, a koje se odnose na</w:t>
      </w:r>
      <w:r>
        <w:t xml:space="preserve"> </w:t>
      </w:r>
      <w:r w:rsidRPr="00A73092">
        <w:t>planiranje proračuna i financijskih planova upravnih tijela i proračunskih korisnika.</w:t>
      </w:r>
    </w:p>
    <w:p w14:paraId="2466FC7C" w14:textId="77777777" w:rsidR="00A73092" w:rsidRDefault="00A73092" w:rsidP="00A73092">
      <w:pPr>
        <w:jc w:val="both"/>
      </w:pPr>
    </w:p>
    <w:p w14:paraId="4DE29D12" w14:textId="5A3A1BE4" w:rsidR="00A73092" w:rsidRDefault="00A73092" w:rsidP="00A73092">
      <w:pPr>
        <w:jc w:val="both"/>
      </w:pPr>
      <w:r>
        <w:t>Proračun se donosi na drugoj razini ekonomske klasifikacije, tj. na razini skupine Računskog plana, što je manje detaljno u odnosu na ranije kad se proračun donosio na trećoj razini ekonomske klasifikacije, tj. na razini podskupine Računskog plana. Donošenje proračuna na manje detaljnoj razini omogućiti će veću fleksibilnost u izvršavanju proračuna.</w:t>
      </w:r>
    </w:p>
    <w:p w14:paraId="5C382C90" w14:textId="77777777" w:rsidR="00A73092" w:rsidRDefault="00A73092" w:rsidP="00A73092">
      <w:pPr>
        <w:jc w:val="both"/>
      </w:pPr>
    </w:p>
    <w:p w14:paraId="498E9E15" w14:textId="2A38BC9F" w:rsidR="00A73092" w:rsidRDefault="00A73092" w:rsidP="00A73092">
      <w:pPr>
        <w:jc w:val="both"/>
      </w:pPr>
      <w:r>
        <w:t>Proračun se sastoji od općeg dijela, posebnog dijela i obrazloženja. Novim Zakonom obrazloženje postaje sastavni dio proračuna, čime se obrazloženju daje veći značaj. Zakon detaljno propisuje sadržaj obrazloženja.</w:t>
      </w:r>
    </w:p>
    <w:p w14:paraId="6CDCD476" w14:textId="21B8E8F7" w:rsidR="00A73092" w:rsidRPr="00A73092" w:rsidRDefault="00A73092" w:rsidP="00A73092">
      <w:pPr>
        <w:jc w:val="both"/>
      </w:pPr>
      <w:r>
        <w:t>Financijski plan proračunskog korisnika se novim Zakonom o proračunu puno detaljnije propisuje. Financijski plan proračunskog korisnika se sadržajno izjednačava sa sadržajem proračuna i sadrži iste dijelove kao i proračun: opći dio, posebni dio i obrazloženje. Ujedno se Zakonom detaljno propisuje postupak predlaganja i donošenja financijskog plana proračunskog korisnika.</w:t>
      </w:r>
      <w:r>
        <w:cr/>
      </w:r>
    </w:p>
    <w:p w14:paraId="735C09BA" w14:textId="2F0F7005" w:rsidR="006D704C" w:rsidRPr="00F805FD" w:rsidRDefault="006D704C" w:rsidP="006D704C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F805FD">
        <w:rPr>
          <w:b/>
          <w:bCs/>
        </w:rPr>
        <w:t>NAČIN IZRADE PRIJEDLOGA FINANCIJSKIH PLANOVA UPRAVNIH TIJELA I</w:t>
      </w:r>
      <w:r w:rsidR="00F805FD">
        <w:rPr>
          <w:b/>
          <w:bCs/>
        </w:rPr>
        <w:t xml:space="preserve"> </w:t>
      </w:r>
      <w:r w:rsidRPr="00F805FD">
        <w:rPr>
          <w:b/>
          <w:bCs/>
        </w:rPr>
        <w:t>PRORAČUNSKIH KORISNIKA ZA RAZDOBLJE 202</w:t>
      </w:r>
      <w:r w:rsidR="00A167C1">
        <w:rPr>
          <w:b/>
          <w:bCs/>
        </w:rPr>
        <w:t>4</w:t>
      </w:r>
      <w:r w:rsidRPr="00F805FD">
        <w:rPr>
          <w:b/>
          <w:bCs/>
        </w:rPr>
        <w:t>.-202</w:t>
      </w:r>
      <w:r w:rsidR="00A167C1">
        <w:rPr>
          <w:b/>
          <w:bCs/>
        </w:rPr>
        <w:t>6</w:t>
      </w:r>
      <w:r w:rsidRPr="00F805FD">
        <w:rPr>
          <w:b/>
          <w:bCs/>
        </w:rPr>
        <w:t>. GODINE</w:t>
      </w:r>
    </w:p>
    <w:p w14:paraId="5E9E8F36" w14:textId="77777777" w:rsidR="006D704C" w:rsidRDefault="006D704C" w:rsidP="006D704C">
      <w:pPr>
        <w:jc w:val="both"/>
        <w:rPr>
          <w:b/>
          <w:bCs/>
        </w:rPr>
      </w:pPr>
    </w:p>
    <w:p w14:paraId="2CEE194F" w14:textId="0A5449C4" w:rsidR="006D704C" w:rsidRPr="006D704C" w:rsidRDefault="006D704C" w:rsidP="006D704C">
      <w:pPr>
        <w:jc w:val="both"/>
        <w:rPr>
          <w:b/>
          <w:bCs/>
        </w:rPr>
      </w:pPr>
      <w:r w:rsidRPr="006D704C">
        <w:rPr>
          <w:b/>
          <w:bCs/>
        </w:rPr>
        <w:t>Izrada prijedloga proračuna i projekcija</w:t>
      </w:r>
    </w:p>
    <w:p w14:paraId="399D72B9" w14:textId="1B86F645" w:rsidR="006D704C" w:rsidRPr="006D704C" w:rsidRDefault="006D704C" w:rsidP="006D704C">
      <w:pPr>
        <w:jc w:val="both"/>
      </w:pPr>
      <w:r w:rsidRPr="006D704C">
        <w:t>Metodologija za izradu proračuna i projekcija, odnosno prijedloga financijskog plana</w:t>
      </w:r>
      <w:r>
        <w:t xml:space="preserve"> </w:t>
      </w:r>
      <w:r w:rsidRPr="006D704C">
        <w:t>proračunskog i izvanproračunskog korisnika, propisana je Zakonom o proračunu (</w:t>
      </w:r>
      <w:r>
        <w:t>„</w:t>
      </w:r>
      <w:r w:rsidRPr="006D704C">
        <w:t>Narodne</w:t>
      </w:r>
      <w:r>
        <w:t xml:space="preserve"> </w:t>
      </w:r>
      <w:r w:rsidRPr="006D704C">
        <w:lastRenderedPageBreak/>
        <w:t>novine</w:t>
      </w:r>
      <w:r>
        <w:t>“</w:t>
      </w:r>
      <w:r w:rsidRPr="006D704C">
        <w:t xml:space="preserve"> 144/21) i </w:t>
      </w:r>
      <w:proofErr w:type="spellStart"/>
      <w:r w:rsidRPr="006D704C">
        <w:t>podzakonskim</w:t>
      </w:r>
      <w:proofErr w:type="spellEnd"/>
      <w:r w:rsidRPr="006D704C">
        <w:t xml:space="preserve"> aktima kojima se regulira provedba Zakona, ponajprije</w:t>
      </w:r>
      <w:r>
        <w:t xml:space="preserve"> </w:t>
      </w:r>
      <w:r w:rsidRPr="006D704C">
        <w:t>Pravilnikom o proračunskim klasifikacijama (</w:t>
      </w:r>
      <w:r>
        <w:t>„</w:t>
      </w:r>
      <w:r w:rsidRPr="006D704C">
        <w:t>Narodne novine</w:t>
      </w:r>
      <w:r>
        <w:t>“</w:t>
      </w:r>
      <w:r w:rsidRPr="006D704C">
        <w:t xml:space="preserve"> 26/10, 120/13 i 1/20) i</w:t>
      </w:r>
      <w:r>
        <w:t xml:space="preserve"> </w:t>
      </w:r>
      <w:r w:rsidRPr="006D704C">
        <w:t>Pravilnikom o proračunskom računovodstvu i Računskom planu (</w:t>
      </w:r>
      <w:r>
        <w:t>„</w:t>
      </w:r>
      <w:r w:rsidRPr="006D704C">
        <w:t>Narodne novine</w:t>
      </w:r>
      <w:r>
        <w:t>“</w:t>
      </w:r>
      <w:r w:rsidRPr="006D704C">
        <w:t xml:space="preserve"> 124/14,</w:t>
      </w:r>
      <w:r>
        <w:t xml:space="preserve"> </w:t>
      </w:r>
      <w:r w:rsidRPr="006D704C">
        <w:t>115/15, 87/16, 3/18, 126/19</w:t>
      </w:r>
      <w:r w:rsidR="00A167C1">
        <w:t>,</w:t>
      </w:r>
      <w:r w:rsidRPr="006D704C">
        <w:t xml:space="preserve"> 108/20</w:t>
      </w:r>
      <w:r w:rsidR="00A167C1">
        <w:t xml:space="preserve"> i 144/21</w:t>
      </w:r>
      <w:r w:rsidRPr="006D704C">
        <w:t>) te Uputama Ministarstva financija za izradu proračuna</w:t>
      </w:r>
      <w:r w:rsidR="00A167C1">
        <w:t xml:space="preserve"> </w:t>
      </w:r>
      <w:r w:rsidRPr="006D704C">
        <w:t>JLP(R)S.</w:t>
      </w:r>
    </w:p>
    <w:p w14:paraId="1BCB9909" w14:textId="77777777" w:rsidR="006D704C" w:rsidRDefault="006D704C" w:rsidP="006D704C">
      <w:pPr>
        <w:jc w:val="both"/>
        <w:rPr>
          <w:b/>
          <w:bCs/>
        </w:rPr>
      </w:pPr>
    </w:p>
    <w:p w14:paraId="2912C85A" w14:textId="77777777" w:rsidR="00A167C1" w:rsidRPr="006D704C" w:rsidRDefault="00A167C1" w:rsidP="006D704C">
      <w:pPr>
        <w:jc w:val="both"/>
        <w:rPr>
          <w:b/>
          <w:bCs/>
        </w:rPr>
      </w:pPr>
    </w:p>
    <w:p w14:paraId="059D5017" w14:textId="3BFE9CED" w:rsidR="006D704C" w:rsidRDefault="005C48E2" w:rsidP="006D704C">
      <w:pPr>
        <w:jc w:val="both"/>
        <w:rPr>
          <w:b/>
          <w:bCs/>
        </w:rPr>
      </w:pPr>
      <w:r>
        <w:rPr>
          <w:b/>
          <w:bCs/>
        </w:rPr>
        <w:t>Metodologija</w:t>
      </w:r>
      <w:r w:rsidR="006D704C" w:rsidRPr="006D704C">
        <w:rPr>
          <w:b/>
          <w:bCs/>
        </w:rPr>
        <w:t xml:space="preserve"> izrade prijedloga proračuna i projekcija temeljem novog</w:t>
      </w:r>
      <w:r w:rsidR="006D704C">
        <w:rPr>
          <w:b/>
          <w:bCs/>
        </w:rPr>
        <w:t xml:space="preserve"> </w:t>
      </w:r>
      <w:r w:rsidR="006D704C" w:rsidRPr="006D704C">
        <w:rPr>
          <w:b/>
          <w:bCs/>
        </w:rPr>
        <w:t>Zakona o proračunu</w:t>
      </w:r>
    </w:p>
    <w:p w14:paraId="2F09A1F5" w14:textId="77777777" w:rsidR="006D704C" w:rsidRDefault="006D704C" w:rsidP="006D704C">
      <w:pPr>
        <w:jc w:val="both"/>
        <w:rPr>
          <w:b/>
          <w:bCs/>
        </w:rPr>
      </w:pPr>
    </w:p>
    <w:p w14:paraId="2D00F771" w14:textId="1EC70B5A" w:rsidR="00A167C1" w:rsidRPr="006D704C" w:rsidRDefault="00A167C1" w:rsidP="006D704C">
      <w:pPr>
        <w:jc w:val="both"/>
        <w:rPr>
          <w:b/>
          <w:bCs/>
        </w:rPr>
      </w:pPr>
    </w:p>
    <w:p w14:paraId="4477C763" w14:textId="5695968D" w:rsidR="006D704C" w:rsidRPr="006D704C" w:rsidRDefault="00A167C1" w:rsidP="006D704C">
      <w:pPr>
        <w:jc w:val="both"/>
      </w:pPr>
      <w:r>
        <w:t xml:space="preserve">Iako se Zakon o Proračunu koji je na snazi od 01.01.2022. godine primjenjivao i na prethodnoj izradi Proračuna Općine </w:t>
      </w:r>
      <w:proofErr w:type="spellStart"/>
      <w:r w:rsidR="00A21933">
        <w:t>Lovas</w:t>
      </w:r>
      <w:proofErr w:type="spellEnd"/>
      <w:r>
        <w:t xml:space="preserve"> i financijskom planu proračunskog korisnika u nastavku uputa navode se ponovo najbitnije novosti i općenito smjernice i metodologija za izradu Proračuna. </w:t>
      </w:r>
      <w:r w:rsidR="006D704C" w:rsidRPr="006D704C">
        <w:t>Novim Zakonom o proračunu propisuju se određene izmjene koje se odnose na metodologiju</w:t>
      </w:r>
      <w:r w:rsidR="006D704C">
        <w:t xml:space="preserve"> </w:t>
      </w:r>
      <w:r w:rsidR="006D704C" w:rsidRPr="006D704C">
        <w:t>izrade proračuna, odnosno u pojedinim slučajevima se dobra praksa koja nije bila izričito</w:t>
      </w:r>
      <w:r w:rsidR="006D704C">
        <w:t xml:space="preserve"> </w:t>
      </w:r>
      <w:r w:rsidR="006D704C" w:rsidRPr="006D704C">
        <w:t>navedena u prijašnjem Zakonu o proračunu, propisuje novim Zakonom. Novim Zakonom o</w:t>
      </w:r>
      <w:r w:rsidR="006D704C">
        <w:t xml:space="preserve"> </w:t>
      </w:r>
      <w:r w:rsidR="006D704C" w:rsidRPr="006D704C">
        <w:t>proračunu se u člancima 28.-31. detaljno propisuje sadržaj proračuna, a u člancima 40. - 42.</w:t>
      </w:r>
      <w:r w:rsidR="006D704C">
        <w:t xml:space="preserve"> </w:t>
      </w:r>
      <w:r w:rsidR="006D704C" w:rsidRPr="006D704C">
        <w:t>postupak predlaganja i donošenja proračuna.</w:t>
      </w:r>
    </w:p>
    <w:p w14:paraId="7E012B69" w14:textId="77777777" w:rsidR="006D704C" w:rsidRPr="006D704C" w:rsidRDefault="006D704C" w:rsidP="006D704C">
      <w:pPr>
        <w:jc w:val="both"/>
        <w:rPr>
          <w:b/>
          <w:bCs/>
        </w:rPr>
      </w:pPr>
    </w:p>
    <w:p w14:paraId="4228FB2E" w14:textId="77777777" w:rsidR="006D704C" w:rsidRPr="006D704C" w:rsidRDefault="006D704C" w:rsidP="006D704C">
      <w:pPr>
        <w:jc w:val="both"/>
        <w:rPr>
          <w:b/>
          <w:bCs/>
        </w:rPr>
      </w:pPr>
      <w:r w:rsidRPr="006D704C">
        <w:rPr>
          <w:b/>
          <w:bCs/>
        </w:rPr>
        <w:t>U nastavku se ukratko obrazlažu navedene zakonske izmjene:</w:t>
      </w:r>
    </w:p>
    <w:p w14:paraId="4900B2EB" w14:textId="519DFEAA" w:rsidR="006D704C" w:rsidRDefault="006D704C" w:rsidP="006D704C">
      <w:pPr>
        <w:jc w:val="both"/>
      </w:pPr>
      <w:r w:rsidRPr="006D704C">
        <w:t>Bitna novina koju donosi novi Zakon o proračunu je da se proračun i projekcije donose na</w:t>
      </w:r>
      <w:r>
        <w:t xml:space="preserve"> </w:t>
      </w:r>
      <w:r w:rsidRPr="006D704C">
        <w:t>drugoj razini Računskog plana, tj. na razini skupine ekonomske klasifikacije. Donošenje</w:t>
      </w:r>
      <w:r>
        <w:t xml:space="preserve"> </w:t>
      </w:r>
      <w:r w:rsidRPr="006D704C">
        <w:t>proračuna na manje detaljnoj razini omogućiti će veću fleksibilnost u izvršavanju proračuna.</w:t>
      </w:r>
      <w:r>
        <w:t xml:space="preserve"> </w:t>
      </w:r>
      <w:r w:rsidRPr="006D704C">
        <w:t>Navedeno predstavlja promjenu u odnosu na raniji Zakon o proračunu kojim je bilo propisano</w:t>
      </w:r>
      <w:r>
        <w:t xml:space="preserve"> </w:t>
      </w:r>
      <w:r w:rsidRPr="006D704C">
        <w:t>da se proračun donosi na trećoj razini Računskog plana, tj. na razini podskupine ekonomske</w:t>
      </w:r>
      <w:r>
        <w:t xml:space="preserve"> </w:t>
      </w:r>
      <w:r w:rsidRPr="006D704C">
        <w:t>klasifikacije, a projekcije na drugoj razini Računskog plana, tj. na razini skupine ekonomske</w:t>
      </w:r>
      <w:r>
        <w:t xml:space="preserve"> </w:t>
      </w:r>
      <w:r w:rsidRPr="006D704C">
        <w:t>klasifikacije.</w:t>
      </w:r>
    </w:p>
    <w:p w14:paraId="6450CE5D" w14:textId="77777777" w:rsidR="006D704C" w:rsidRPr="006D704C" w:rsidRDefault="006D704C" w:rsidP="006D704C">
      <w:pPr>
        <w:jc w:val="both"/>
      </w:pPr>
    </w:p>
    <w:p w14:paraId="0EF2B476" w14:textId="353F9C98" w:rsidR="00A73092" w:rsidRDefault="006D704C" w:rsidP="006D704C">
      <w:pPr>
        <w:jc w:val="both"/>
        <w:rPr>
          <w:b/>
          <w:bCs/>
        </w:rPr>
      </w:pPr>
      <w:r w:rsidRPr="006D704C">
        <w:rPr>
          <w:b/>
          <w:bCs/>
        </w:rPr>
        <w:t>Obrazloženje postaje sastavni dio proračuna, uz opći i posebni dio.</w:t>
      </w:r>
    </w:p>
    <w:p w14:paraId="76C251EA" w14:textId="70766597" w:rsidR="006D704C" w:rsidRPr="006D704C" w:rsidRDefault="006D704C" w:rsidP="006D704C">
      <w:pPr>
        <w:jc w:val="both"/>
      </w:pPr>
      <w:r w:rsidRPr="006D704C">
        <w:t>Novim Zakonom o proračunu se propisuje da obrazloženje proračuna postaje sastavni dio</w:t>
      </w:r>
      <w:r>
        <w:t xml:space="preserve"> </w:t>
      </w:r>
      <w:r w:rsidRPr="006D704C">
        <w:t>proračuna koji sadržava prikaz proračunskih aktivnosti i projekata s ciljevima i pokazateljima</w:t>
      </w:r>
      <w:r>
        <w:t xml:space="preserve"> </w:t>
      </w:r>
      <w:r w:rsidRPr="006D704C">
        <w:t>uspješnosti.</w:t>
      </w:r>
    </w:p>
    <w:p w14:paraId="0DC07D5C" w14:textId="376E412B" w:rsidR="006D704C" w:rsidRPr="006D704C" w:rsidRDefault="006D704C" w:rsidP="006D704C">
      <w:pPr>
        <w:jc w:val="both"/>
      </w:pPr>
      <w:r w:rsidRPr="006D704C">
        <w:t>Mijenja se izgled općeg dijela proračuna (Opći dio sadrži Sažetak, Račun prihoda i rashoda i</w:t>
      </w:r>
      <w:r>
        <w:t xml:space="preserve"> </w:t>
      </w:r>
      <w:r w:rsidRPr="006D704C">
        <w:t>Račun financiranja), koji se do sada iskazivao samo po ekonomskoj klasifikaciji, a ubuduće će</w:t>
      </w:r>
      <w:r>
        <w:t xml:space="preserve"> </w:t>
      </w:r>
      <w:r w:rsidRPr="006D704C">
        <w:t>se iskazivati i po izvorima financiranja i funkcijskoj klasifikaciji (po funkcijskoj klasifikaciji se</w:t>
      </w:r>
      <w:r>
        <w:t xml:space="preserve"> </w:t>
      </w:r>
      <w:r w:rsidRPr="006D704C">
        <w:t>iskazuju samo rashodi) — napomenimo da se na taj način već sastavlja polugodišnji i godišnji</w:t>
      </w:r>
      <w:r>
        <w:t xml:space="preserve"> </w:t>
      </w:r>
      <w:r w:rsidRPr="006D704C">
        <w:t>izvještaj o izvršenju proračuna.</w:t>
      </w:r>
    </w:p>
    <w:p w14:paraId="1075D9A4" w14:textId="7B694D9F" w:rsidR="006D704C" w:rsidRPr="006D704C" w:rsidRDefault="006D704C" w:rsidP="006D704C">
      <w:pPr>
        <w:jc w:val="both"/>
      </w:pPr>
      <w:r w:rsidRPr="006D704C">
        <w:t>Ako ukupni prihodi i primici nisu jednaki ukupnim rashodima i izdacima, opći dio sadrži i</w:t>
      </w:r>
      <w:r w:rsidR="00E20844">
        <w:t xml:space="preserve"> </w:t>
      </w:r>
      <w:r w:rsidRPr="006D704C">
        <w:t>preneseni višak ili preneseni manjak prihoda nad rashodima.</w:t>
      </w:r>
    </w:p>
    <w:p w14:paraId="1C488A76" w14:textId="32C9B6AD" w:rsidR="006D704C" w:rsidRPr="006D704C" w:rsidRDefault="00E20844" w:rsidP="006D704C">
      <w:pPr>
        <w:jc w:val="both"/>
      </w:pPr>
      <w:r>
        <w:t>Općinsko</w:t>
      </w:r>
      <w:r w:rsidR="006D704C" w:rsidRPr="006D704C">
        <w:t xml:space="preserve"> vijeće će uz proračun donositi višegodišnji plan uravnoteženja, a donositi će se u</w:t>
      </w:r>
      <w:r>
        <w:t xml:space="preserve"> </w:t>
      </w:r>
      <w:r w:rsidR="006D704C" w:rsidRPr="006D704C">
        <w:t>slučaju kada su veliki preneseni manjkovi ili viškovi s kojima se ne može uravnotežiti</w:t>
      </w:r>
      <w:r>
        <w:t xml:space="preserve"> </w:t>
      </w:r>
      <w:r w:rsidR="006D704C" w:rsidRPr="006D704C">
        <w:t>proračun</w:t>
      </w:r>
      <w:r>
        <w:t xml:space="preserve"> </w:t>
      </w:r>
      <w:r w:rsidR="006D704C" w:rsidRPr="006D704C">
        <w:t>u jednoj godini.</w:t>
      </w:r>
    </w:p>
    <w:p w14:paraId="64674F14" w14:textId="194AFCF5" w:rsidR="006D704C" w:rsidRDefault="006D704C" w:rsidP="006D704C">
      <w:pPr>
        <w:jc w:val="both"/>
      </w:pPr>
      <w:r w:rsidRPr="006D704C">
        <w:t>Donošenje višegodišnjeg plana uravnoteženja detaljno je propisano člankom 37. Zakona o</w:t>
      </w:r>
      <w:r w:rsidR="00E20844">
        <w:t xml:space="preserve"> </w:t>
      </w:r>
      <w:r w:rsidRPr="006D704C">
        <w:t>proračunu. U nastavku citiramo navedeni članak 37</w:t>
      </w:r>
      <w:r w:rsidR="00E20844">
        <w:t>.</w:t>
      </w:r>
    </w:p>
    <w:p w14:paraId="2CAC9AB8" w14:textId="77777777" w:rsidR="00E20844" w:rsidRDefault="00E20844" w:rsidP="006D704C">
      <w:pPr>
        <w:jc w:val="both"/>
      </w:pPr>
    </w:p>
    <w:p w14:paraId="0AACECE2" w14:textId="77777777" w:rsidR="00E20844" w:rsidRDefault="00E20844" w:rsidP="006D704C">
      <w:pPr>
        <w:jc w:val="both"/>
      </w:pPr>
      <w:r w:rsidRPr="00E20844">
        <w:t xml:space="preserve">Višegodišnji plan uravnoteženja JLP(R)S i njihovih proračunskih korisnika </w:t>
      </w:r>
      <w:r>
        <w:t>č</w:t>
      </w:r>
      <w:r w:rsidRPr="00E20844">
        <w:t xml:space="preserve">lanak 37. </w:t>
      </w:r>
    </w:p>
    <w:p w14:paraId="5EDB3FAA" w14:textId="27085B71" w:rsidR="00E20844" w:rsidRDefault="00E20844" w:rsidP="006D704C">
      <w:pPr>
        <w:jc w:val="both"/>
      </w:pPr>
      <w:r w:rsidRPr="00E20844">
        <w:t xml:space="preserve">„(1) Ako jedinice lokalne i područne (regionalne) samouprave i njihovi proračunski i izvanproračunski korisnici ne mogu preneseni manjak podmiriti do kraja proračunske godine, obvezni su izraditi višegodišnji plan uravnoteženja za razdoblje za koje se proračun odnosno </w:t>
      </w:r>
      <w:r w:rsidRPr="00E20844">
        <w:lastRenderedPageBreak/>
        <w:t>financijski plan donosi. Ako jedinice lokalne i područne (regionalne) samouprave, proračunski i izvanproračunski korisnici ne mogu preneseni višak, zbog njegove veličine, u cijelosti iskoristiti u jednoj proračunskoj godini, korištenje viška planira se višegodišnjim planom uravnoteženja za razdoblje za koje se proračun odnosno financijski plan donosi. Višegodišnji plan uravnoteženja financijskog plana proračunskog i izvanproračunskog korisnika jedinice lokalne i područne (regionalne) samouprave donosi njegovo upravljačko tijelo uz prijedlog financijskog plana, nakon čega ga dostavlja jedinici lokalne i područne (regionalne) samouprave. Višegodišnji plan uravnoteženja proračuna jedinice lokalne i područne (regionalne) samouprave donosi predstavničko tijelo jedinice lokalne i područne (regionalne) samouprave uz proračun jedinice lokalne i područne (regionalne) samouprave. Ministar financija pravilnikom iz članka 6. stavka 2. ovoga Zakona propisuje izgled i sadržaj višegodišnjeg plana uravnoteženja."</w:t>
      </w:r>
    </w:p>
    <w:p w14:paraId="06A8C084" w14:textId="12EE3FDA" w:rsidR="00E20844" w:rsidRDefault="00E20844" w:rsidP="006D704C">
      <w:pPr>
        <w:jc w:val="both"/>
      </w:pPr>
    </w:p>
    <w:p w14:paraId="3ED9460A" w14:textId="00D15E12" w:rsidR="00E20844" w:rsidRPr="00E20844" w:rsidRDefault="00E20844" w:rsidP="00E20844">
      <w:pPr>
        <w:jc w:val="both"/>
      </w:pPr>
      <w:r w:rsidRPr="00E20844">
        <w:rPr>
          <w:b/>
          <w:bCs/>
        </w:rPr>
        <w:t>Izrada prijedloga financijskog plana upravnog tijela i proračunskog korisnika</w:t>
      </w:r>
      <w:r w:rsidRPr="00E20844">
        <w:rPr>
          <w:b/>
          <w:bCs/>
        </w:rPr>
        <w:cr/>
      </w:r>
      <w:r w:rsidRPr="00E20844">
        <w:t>Upravna tijela (razdjeli u proračunu) i proračunski korisnici (glave u proračunu), obvezni su</w:t>
      </w:r>
      <w:r>
        <w:t xml:space="preserve"> </w:t>
      </w:r>
      <w:r w:rsidRPr="00E20844">
        <w:t>izraditi prijedlog financijskog plana za razdoblje 202</w:t>
      </w:r>
      <w:r w:rsidR="00A167C1">
        <w:t>4</w:t>
      </w:r>
      <w:r w:rsidRPr="00E20844">
        <w:t>.-202</w:t>
      </w:r>
      <w:r w:rsidR="00A167C1">
        <w:t>6</w:t>
      </w:r>
      <w:r w:rsidRPr="00E20844">
        <w:t>. godine u skladu s odredbama</w:t>
      </w:r>
      <w:r>
        <w:t xml:space="preserve"> </w:t>
      </w:r>
      <w:r w:rsidRPr="00E20844">
        <w:t>Zakona o proračunu, Pravilnika o proračunskom računovodstvu i računskom planu, Pravilnika</w:t>
      </w:r>
      <w:r>
        <w:t xml:space="preserve"> </w:t>
      </w:r>
      <w:r w:rsidRPr="00E20844">
        <w:t>o proračunskim klasifikacijama te pridržavajući se ovih Uputa.</w:t>
      </w:r>
    </w:p>
    <w:p w14:paraId="59145500" w14:textId="5B51AD42" w:rsidR="00E20844" w:rsidRDefault="00E20844" w:rsidP="00E20844">
      <w:pPr>
        <w:jc w:val="both"/>
      </w:pPr>
      <w:r w:rsidRPr="00E20844">
        <w:t>Proračunski korisnik u svom financijskom planu treba iskazati sve svoje prihode i rashode.</w:t>
      </w:r>
    </w:p>
    <w:p w14:paraId="6770A952" w14:textId="681CA1A7" w:rsidR="00E20844" w:rsidRDefault="00E20844" w:rsidP="00E20844">
      <w:pPr>
        <w:jc w:val="both"/>
      </w:pPr>
    </w:p>
    <w:p w14:paraId="722A6271" w14:textId="3146D273" w:rsidR="00E20844" w:rsidRDefault="00E20844" w:rsidP="00E20844">
      <w:pPr>
        <w:jc w:val="both"/>
      </w:pPr>
      <w:r>
        <w:t>Kao što je prethodno već navedeno, bitno je naglasiti da je novi Zakon o proračunu propisao da obrazloženje postaje sastavni dio proračuna, čime se obrazloženju daje veći značaj.</w:t>
      </w:r>
    </w:p>
    <w:p w14:paraId="3EE1D94A" w14:textId="0E6442D7" w:rsidR="00E20844" w:rsidRDefault="00E20844" w:rsidP="00E20844">
      <w:pPr>
        <w:jc w:val="both"/>
      </w:pPr>
      <w:r>
        <w:t>U Zakonu se navodi da se obrazloženje posebnog dijela proračuna JLP(R)S temelji na obrazloženjima financijskih planova upravnih tijela i proračunskih korisnika, a sastoji se od obrazloženja programa koje se daje kroz obrazloženje aktivnosti i projekata zajedno s ciljevima i pokazateljima uspješnosti iz akata strateškog planiranja.</w:t>
      </w:r>
    </w:p>
    <w:p w14:paraId="332D494C" w14:textId="77777777" w:rsidR="00E20844" w:rsidRPr="00E20844" w:rsidRDefault="00E20844" w:rsidP="00E20844">
      <w:pPr>
        <w:jc w:val="both"/>
        <w:rPr>
          <w:b/>
          <w:bCs/>
        </w:rPr>
      </w:pPr>
    </w:p>
    <w:p w14:paraId="2D726EF7" w14:textId="0465E8BD" w:rsidR="00E20844" w:rsidRDefault="00E20844" w:rsidP="00E20844">
      <w:pPr>
        <w:jc w:val="both"/>
      </w:pPr>
      <w:r w:rsidRPr="00E20844">
        <w:rPr>
          <w:b/>
          <w:bCs/>
        </w:rPr>
        <w:t>Proračunski korisnici</w:t>
      </w:r>
      <w:r>
        <w:t xml:space="preserve"> - Obrazloženje svog financijskog plana proračunski korisnici dostavljaju </w:t>
      </w:r>
      <w:r w:rsidR="00235FE1">
        <w:t>Jedinstvenom upravnom odjelu</w:t>
      </w:r>
      <w:r>
        <w:t xml:space="preserve">. </w:t>
      </w:r>
      <w:r w:rsidR="00235FE1">
        <w:t>Detaljnije</w:t>
      </w:r>
      <w:r>
        <w:t xml:space="preserve"> se o obrazloženju </w:t>
      </w:r>
      <w:r w:rsidR="00235FE1">
        <w:t>financijskog</w:t>
      </w:r>
      <w:r>
        <w:t xml:space="preserve"> plana proračunskog</w:t>
      </w:r>
      <w:r w:rsidR="00235FE1">
        <w:t xml:space="preserve"> </w:t>
      </w:r>
      <w:r>
        <w:t xml:space="preserve">korisnika govori </w:t>
      </w:r>
      <w:r w:rsidR="00235FE1">
        <w:t>dalje</w:t>
      </w:r>
      <w:r>
        <w:t xml:space="preserve"> u nastavku teksta.</w:t>
      </w:r>
    </w:p>
    <w:p w14:paraId="549E4D0C" w14:textId="57FEB843" w:rsidR="00235FE1" w:rsidRDefault="00235FE1" w:rsidP="00E20844">
      <w:pPr>
        <w:jc w:val="both"/>
      </w:pPr>
    </w:p>
    <w:p w14:paraId="63A1AD98" w14:textId="45C4CF89" w:rsidR="00235FE1" w:rsidRDefault="00235FE1" w:rsidP="00235FE1">
      <w:pPr>
        <w:jc w:val="both"/>
      </w:pPr>
      <w:r>
        <w:t>Promjene u metodologiji izrade financijskog plana proračunskog korisnika temeljem novog Zakona o proračunu. Novim Zakonom o proračunu se u člancima 33.-36. detaljno propisuje sadržaj financijskog plana proračunskog korisnika, a u članku 38. postupak predlaganja i donošenja financijskog plana proračunskog korisnika.</w:t>
      </w:r>
    </w:p>
    <w:p w14:paraId="721A9E49" w14:textId="77777777" w:rsidR="00235FE1" w:rsidRDefault="00235FE1" w:rsidP="00235FE1">
      <w:pPr>
        <w:jc w:val="both"/>
      </w:pPr>
    </w:p>
    <w:p w14:paraId="4C8D8C6A" w14:textId="2A5AA28C" w:rsidR="00235FE1" w:rsidRDefault="00235FE1" w:rsidP="00235FE1">
      <w:pPr>
        <w:jc w:val="both"/>
      </w:pPr>
      <w:r>
        <w:t>U nastavku se ukratko obrazlažu navedene zakonske izmjene:</w:t>
      </w:r>
    </w:p>
    <w:p w14:paraId="0D95D4C1" w14:textId="1CF518E9" w:rsidR="00235FE1" w:rsidRDefault="00235FE1" w:rsidP="00235FE1">
      <w:pPr>
        <w:jc w:val="both"/>
      </w:pPr>
      <w:r>
        <w:t>Bitna novina u odnosu na raniji Zakon je da je novim Zakonom o proračunu znatno proširen sadržaj financijskog plana proračunskog korisnika te je financijski plan proračunskog korisnika izjednačen sa sadržajem proračuna Financijski plan proračunskog korisnika sastoji se od plana za proračunsku godinu i projekcija za sljedeće dvije godine te sadrži opći i posebni dio i obrazloženje financijskog plana.</w:t>
      </w:r>
    </w:p>
    <w:p w14:paraId="01C951C7" w14:textId="77777777" w:rsidR="00235FE1" w:rsidRDefault="00235FE1" w:rsidP="00235FE1">
      <w:pPr>
        <w:jc w:val="both"/>
      </w:pPr>
    </w:p>
    <w:p w14:paraId="61EFBDE7" w14:textId="601831F8" w:rsidR="00235FE1" w:rsidRDefault="00235FE1" w:rsidP="00235FE1">
      <w:pPr>
        <w:jc w:val="both"/>
      </w:pPr>
      <w:r w:rsidRPr="00235FE1">
        <w:rPr>
          <w:u w:val="single"/>
        </w:rPr>
        <w:t>Članak 34. definira sadržaj Općeg dijela financijskog plana proračunskog korisnika</w:t>
      </w:r>
      <w:r>
        <w:t>. U nastavku se citiraju pojedini stavci navedenog članka koji se odnose na proračunske korisnike:</w:t>
      </w:r>
    </w:p>
    <w:p w14:paraId="1B41DF9F" w14:textId="492C9926" w:rsidR="00235FE1" w:rsidRDefault="00235FE1" w:rsidP="00235FE1">
      <w:pPr>
        <w:jc w:val="both"/>
      </w:pPr>
    </w:p>
    <w:p w14:paraId="5C6BEB2F" w14:textId="440207E1" w:rsidR="00235FE1" w:rsidRDefault="00235FE1" w:rsidP="00235FE1">
      <w:pPr>
        <w:jc w:val="both"/>
      </w:pPr>
      <w:r>
        <w:t>„(1) Opći dio financijskog plana proračunskog i izvanproračunskog korisnika sadrži: - sažetak Računa prihoda i rashoda i Računa financiranja - Račun prihoda i rashoda i Račun financiranja.</w:t>
      </w:r>
    </w:p>
    <w:p w14:paraId="48135397" w14:textId="32BA0D79" w:rsidR="00235FE1" w:rsidRDefault="00235FE1" w:rsidP="00235FE1">
      <w:pPr>
        <w:jc w:val="both"/>
      </w:pPr>
      <w:r>
        <w:lastRenderedPageBreak/>
        <w:t>(2) Račun prihoda i rashoda proračunskih korisnika iz stavka 1. ovoga članka sastoji se od prihoda i rashoda iskazanih prema izvorima financiranja i ekonomskoj klasifikaciji te rashoda iskazanih prema funkcijskoj klasifikaciji.</w:t>
      </w:r>
    </w:p>
    <w:p w14:paraId="19828085" w14:textId="749A6718" w:rsidR="00235FE1" w:rsidRDefault="00235FE1" w:rsidP="00235FE1">
      <w:pPr>
        <w:jc w:val="both"/>
      </w:pPr>
      <w:r>
        <w:t xml:space="preserve">(4) U Računu financiranja proračunskih korisnika iz stavka </w:t>
      </w:r>
      <w:proofErr w:type="spellStart"/>
      <w:r>
        <w:t>l.ovoga</w:t>
      </w:r>
      <w:proofErr w:type="spellEnd"/>
      <w:r>
        <w:t xml:space="preserve"> članka iskazuju se primici od financijske imovine i zaduživanja te izdaci za financijsku imovinu i za otplatu instrumenata zaduživanja prema izvorima financiranja i ekonomskoj klasifikaciji.</w:t>
      </w:r>
    </w:p>
    <w:p w14:paraId="4EFC1E18" w14:textId="4553DF01" w:rsidR="00235FE1" w:rsidRDefault="00235FE1" w:rsidP="00235FE1">
      <w:pPr>
        <w:jc w:val="both"/>
      </w:pPr>
      <w:r>
        <w:t>Ako ukupni prihodi i primici nisu jednaki ukupnim rashodima i izdacima, financijski plan proračunskog i izvanproračunskog korisnika jedinica lokalne i područne (regionalne) samouprave sadrži preneseni višak ili preneseni manjak prihoda nad rashodima.</w:t>
      </w:r>
    </w:p>
    <w:p w14:paraId="3D9EF7BD" w14:textId="5AA8B576" w:rsidR="00235FE1" w:rsidRDefault="00235FE1" w:rsidP="00235FE1">
      <w:pPr>
        <w:jc w:val="both"/>
      </w:pPr>
      <w:r>
        <w:t>Ako se donosi višegodišnji plan uravnoteženja iz članka 37. ovoga Zakona, financijski plan sadrži podatke iz višegodišnjeg plana uravnoteženja."</w:t>
      </w:r>
    </w:p>
    <w:p w14:paraId="15466522" w14:textId="48A28718" w:rsidR="00235FE1" w:rsidRDefault="00235FE1" w:rsidP="00235FE1">
      <w:pPr>
        <w:jc w:val="both"/>
      </w:pPr>
    </w:p>
    <w:p w14:paraId="16D56A50" w14:textId="77777777" w:rsidR="00235FE1" w:rsidRPr="00235FE1" w:rsidRDefault="00235FE1" w:rsidP="00235FE1">
      <w:pPr>
        <w:jc w:val="both"/>
        <w:rPr>
          <w:u w:val="single"/>
        </w:rPr>
      </w:pPr>
      <w:r w:rsidRPr="00235FE1">
        <w:rPr>
          <w:u w:val="single"/>
        </w:rPr>
        <w:t>Članak 35. definira sadržaj Posebnog dijela proračunskog korisnika.</w:t>
      </w:r>
    </w:p>
    <w:p w14:paraId="145C3B62" w14:textId="77777777" w:rsidR="00235FE1" w:rsidRDefault="00235FE1" w:rsidP="00235FE1">
      <w:pPr>
        <w:jc w:val="both"/>
      </w:pPr>
      <w:r>
        <w:t>U nastavku se citira stavak 1 navedenog članka koji se odnose na proračunske korisnike:</w:t>
      </w:r>
    </w:p>
    <w:p w14:paraId="1E2570F9" w14:textId="01BF2A21" w:rsidR="00235FE1" w:rsidRDefault="00235FE1" w:rsidP="00235FE1">
      <w:pPr>
        <w:jc w:val="both"/>
      </w:pPr>
      <w:r>
        <w:t>„(1) Posebni dio financijskog plana proračunskog korisnika sastoji se od plana rashoda i izdataka iskazanih po izvorima financiranja i ekonomskoj klasifikaciji, raspoređenih u programe koji se sastoje od aktivnosti i projekata."</w:t>
      </w:r>
    </w:p>
    <w:p w14:paraId="41AB108F" w14:textId="5AA70D72" w:rsidR="00235FE1" w:rsidRDefault="00235FE1" w:rsidP="00235FE1">
      <w:pPr>
        <w:jc w:val="both"/>
      </w:pPr>
    </w:p>
    <w:p w14:paraId="50ABB2D8" w14:textId="5348C520" w:rsidR="00235FE1" w:rsidRPr="00235FE1" w:rsidRDefault="00235FE1" w:rsidP="00235FE1">
      <w:pPr>
        <w:jc w:val="both"/>
        <w:rPr>
          <w:u w:val="single"/>
        </w:rPr>
      </w:pPr>
      <w:r w:rsidRPr="00235FE1">
        <w:rPr>
          <w:u w:val="single"/>
        </w:rPr>
        <w:t>Članak 36. definira sadržaj Obrazloženja financijskog plana proračunskog korisnika.</w:t>
      </w:r>
    </w:p>
    <w:p w14:paraId="5D5AA052" w14:textId="2ABB40D2" w:rsidR="00235FE1" w:rsidRDefault="00235FE1" w:rsidP="00235FE1">
      <w:pPr>
        <w:jc w:val="both"/>
      </w:pPr>
      <w:r>
        <w:t xml:space="preserve"> U nastavku se citiraju dijelovi navedenog članka koji se odnose na proračunske jedinice JLP(R)S:</w:t>
      </w:r>
    </w:p>
    <w:p w14:paraId="678B4A50" w14:textId="645023EA" w:rsidR="00235FE1" w:rsidRDefault="00235FE1" w:rsidP="00235FE1">
      <w:pPr>
        <w:jc w:val="both"/>
      </w:pPr>
      <w:r>
        <w:t>„(1) Obrazloženje financijskog plana proračunskog i izvanproračunskog korisnika sastoji se od obrazloženja općeg dijela financijskog plana i obrazloženja posebnog dijela financijskog plana proračunskog i izvanproračunskog korisnika.</w:t>
      </w:r>
    </w:p>
    <w:p w14:paraId="65AEDA18" w14:textId="77777777" w:rsidR="00235FE1" w:rsidRDefault="00235FE1" w:rsidP="00235FE1">
      <w:pPr>
        <w:jc w:val="both"/>
      </w:pPr>
      <w:r>
        <w:t>(2) Obrazloženje općeg dijela financijskog plana proračunskog i izvanproračunskog korisnika</w:t>
      </w:r>
    </w:p>
    <w:p w14:paraId="2112E4D4" w14:textId="7C30DDDA" w:rsidR="00235FE1" w:rsidRDefault="00235FE1" w:rsidP="00235FE1">
      <w:pPr>
        <w:jc w:val="both"/>
      </w:pPr>
      <w:r>
        <w:t>sadrži obrazloženje: prihoda i rashoda, primitaka i izdataka prenesenog manjka, odnosno viška financijskog plana, u slučaju iz članka 34. stavka 6. ovoga Zakona.</w:t>
      </w:r>
    </w:p>
    <w:p w14:paraId="3DA45561" w14:textId="5E9EE988" w:rsidR="00235FE1" w:rsidRDefault="00235FE1" w:rsidP="00235FE1">
      <w:pPr>
        <w:jc w:val="both"/>
      </w:pPr>
      <w:r>
        <w:t>(4) Obrazloženje posebnog dijela financijskog plana proračunskog i izvanproračunskog korisnika sastoji se od obrazloženja programa koje se daje kroz obrazloženje aktivnosti i projekata zajedno s ciljevima i pokazateljima uspješnosti iz akata strateškog planiranja i godišnjeg plana rada."</w:t>
      </w:r>
    </w:p>
    <w:p w14:paraId="5C12FBC2" w14:textId="77777777" w:rsidR="00235FE1" w:rsidRDefault="00235FE1" w:rsidP="00235FE1">
      <w:pPr>
        <w:jc w:val="both"/>
      </w:pPr>
    </w:p>
    <w:p w14:paraId="410A3CF8" w14:textId="43BD7B89" w:rsidR="00235FE1" w:rsidRDefault="00235FE1" w:rsidP="00235FE1">
      <w:pPr>
        <w:jc w:val="both"/>
      </w:pPr>
      <w:r>
        <w:t>Ka</w:t>
      </w:r>
      <w:r w:rsidR="00A21933">
        <w:t>k</w:t>
      </w:r>
      <w:r>
        <w:t>o za proračun, tako se i za proračunske korisnike propisuje obveza donošenja višegodišnjeg plana uravnoteženja, a donositi će ga upravljačko tijelo uz prijedlog financijskog plana, u slučaju kada su veliki preneseni manjkovi ili viškovi s kojima se ne može uravnotežiti financijski plan u jednoj godini.</w:t>
      </w:r>
    </w:p>
    <w:p w14:paraId="55BBC3E7" w14:textId="4926FA74" w:rsidR="00235FE1" w:rsidRDefault="00235FE1" w:rsidP="00235FE1">
      <w:pPr>
        <w:jc w:val="both"/>
      </w:pPr>
      <w:r>
        <w:t>Donošenje višegodišnjeg plana uravnoteženja detaljno je propisano člankom 37. Zakona o proračunu.</w:t>
      </w:r>
    </w:p>
    <w:p w14:paraId="77631ACA" w14:textId="3007B1BE" w:rsidR="00235FE1" w:rsidRDefault="00235FE1" w:rsidP="00235FE1">
      <w:pPr>
        <w:jc w:val="both"/>
      </w:pPr>
    </w:p>
    <w:p w14:paraId="323A9154" w14:textId="6A7EF80D" w:rsidR="00235FE1" w:rsidRDefault="00235FE1" w:rsidP="00235FE1">
      <w:pPr>
        <w:jc w:val="both"/>
        <w:rPr>
          <w:b/>
          <w:bCs/>
        </w:rPr>
      </w:pPr>
      <w:r w:rsidRPr="00235FE1">
        <w:rPr>
          <w:b/>
          <w:bCs/>
        </w:rPr>
        <w:t>Postupak donošenja financijskog plana proračunskog korisnika propisan je člankom</w:t>
      </w:r>
      <w:r>
        <w:rPr>
          <w:b/>
          <w:bCs/>
        </w:rPr>
        <w:t xml:space="preserve"> </w:t>
      </w:r>
      <w:r w:rsidRPr="00235FE1">
        <w:rPr>
          <w:b/>
          <w:bCs/>
        </w:rPr>
        <w:t>38. Zakona o proračunu:</w:t>
      </w:r>
    </w:p>
    <w:p w14:paraId="23FEEB15" w14:textId="058D4EBD" w:rsidR="00235FE1" w:rsidRDefault="00235FE1" w:rsidP="00235FE1">
      <w:pPr>
        <w:jc w:val="both"/>
        <w:rPr>
          <w:b/>
          <w:bCs/>
        </w:rPr>
      </w:pPr>
    </w:p>
    <w:p w14:paraId="3017085D" w14:textId="49EDF231" w:rsidR="00235FE1" w:rsidRPr="00235FE1" w:rsidRDefault="00235FE1" w:rsidP="00235FE1">
      <w:pPr>
        <w:jc w:val="both"/>
      </w:pPr>
      <w:r>
        <w:t xml:space="preserve">1. </w:t>
      </w:r>
      <w:r w:rsidRPr="00235FE1">
        <w:t>Čelnik proračunskog korisnika obvezan je prije dostave prijedloga financijskog plana</w:t>
      </w:r>
      <w:r>
        <w:t xml:space="preserve"> </w:t>
      </w:r>
      <w:r w:rsidRPr="00235FE1">
        <w:t>nadležnom ministarstvu ili drugom državnom tijelu na razini razdjela organizacijske</w:t>
      </w:r>
      <w:r>
        <w:t xml:space="preserve"> </w:t>
      </w:r>
      <w:r w:rsidRPr="00235FE1">
        <w:t>klasifikacije odnosno upravnom tijelu prijedlog financijskog plana uputiti upravljačkom</w:t>
      </w:r>
      <w:r>
        <w:t xml:space="preserve"> </w:t>
      </w:r>
      <w:r w:rsidRPr="00235FE1">
        <w:t>tijelu na usvajanje, ako je primjenjivo u skladu s aktima kojima je uređen rad</w:t>
      </w:r>
      <w:r>
        <w:t xml:space="preserve"> </w:t>
      </w:r>
      <w:r w:rsidRPr="00235FE1">
        <w:t>proračunskog korisnika.</w:t>
      </w:r>
    </w:p>
    <w:p w14:paraId="19124E6D" w14:textId="083F0478" w:rsidR="00235FE1" w:rsidRDefault="00235FE1" w:rsidP="00235FE1">
      <w:pPr>
        <w:jc w:val="both"/>
      </w:pPr>
      <w:r w:rsidRPr="00235FE1">
        <w:t>2. Upravljačko tijelo usvaja prijedlog financijskog plana koji sadrži plan za proračunsku</w:t>
      </w:r>
      <w:r>
        <w:t xml:space="preserve"> </w:t>
      </w:r>
      <w:r w:rsidRPr="00235FE1">
        <w:t>godinu i projekcije za sljedeće dvije godine na razini skupine ekonomske klasifikacije.</w:t>
      </w:r>
    </w:p>
    <w:p w14:paraId="0BE28DD7" w14:textId="2703BEDA" w:rsidR="00235FE1" w:rsidRDefault="00235FE1" w:rsidP="00235FE1">
      <w:pPr>
        <w:jc w:val="both"/>
      </w:pPr>
      <w:r>
        <w:t>3. Proračunski korisnik nakon usvajanja financijskog plana od strane upravljačkog tijela dostavlja svoj financijski plan nadležnom upravnom odjelu.</w:t>
      </w:r>
    </w:p>
    <w:p w14:paraId="6835DEC5" w14:textId="74BDA84F" w:rsidR="00235FE1" w:rsidRDefault="00235FE1" w:rsidP="00235FE1">
      <w:pPr>
        <w:jc w:val="both"/>
      </w:pPr>
      <w:r>
        <w:lastRenderedPageBreak/>
        <w:t>4. Nadležni upravni odjel na razini razdjela organizacijske klasifikacije odnosno nadležno upravno tijelo u jedinici lokalne i područne (regionalne) samouprave dužno je prije dostave prijedloga financijskih planova, odnosno upravnom tijelu za financije provjeriti</w:t>
      </w:r>
      <w:r w:rsidR="009152F5">
        <w:t xml:space="preserve"> </w:t>
      </w:r>
      <w:r>
        <w:t>točnost i istinitost podataka navedenih u istima.</w:t>
      </w:r>
    </w:p>
    <w:p w14:paraId="1F61195A" w14:textId="77777777" w:rsidR="009152F5" w:rsidRDefault="00235FE1" w:rsidP="009152F5">
      <w:pPr>
        <w:jc w:val="both"/>
      </w:pPr>
      <w:r>
        <w:t>5. Kad postoje razlike u financijskom planu proračunskog korisnika sadržanom u</w:t>
      </w:r>
      <w:r w:rsidR="009152F5">
        <w:t xml:space="preserve"> </w:t>
      </w:r>
      <w:r>
        <w:t>proračunu</w:t>
      </w:r>
      <w:r w:rsidR="009152F5">
        <w:t xml:space="preserve"> </w:t>
      </w:r>
      <w:r>
        <w:t>koji je donijelo predstavničko tijelo u odnosu na već usvojeni prijedlog</w:t>
      </w:r>
      <w:r w:rsidR="009152F5">
        <w:t xml:space="preserve"> </w:t>
      </w:r>
      <w:r>
        <w:t>financijskog plana od strane upravljačkog tijela, Upravno tijelo na razini razdjela</w:t>
      </w:r>
      <w:r w:rsidR="009152F5">
        <w:t xml:space="preserve"> </w:t>
      </w:r>
      <w:r>
        <w:t>organizacijske klasifikacije dužno je obavijestiti proračunskog korisnika iz svoje</w:t>
      </w:r>
      <w:r w:rsidR="009152F5">
        <w:t xml:space="preserve"> </w:t>
      </w:r>
      <w:r>
        <w:t>nadležnosti o promjenama u odnosu na usvojeni prijedlog financijskog plana.</w:t>
      </w:r>
      <w:r>
        <w:cr/>
      </w:r>
    </w:p>
    <w:p w14:paraId="3E543B6E" w14:textId="04E95922" w:rsidR="009152F5" w:rsidRDefault="009152F5" w:rsidP="009152F5">
      <w:pPr>
        <w:jc w:val="both"/>
      </w:pPr>
      <w:r>
        <w:t>Vezano za točku 5. prethodno citiranog, bitno je naglasiti da su upravljačka tijela proračunskih korisnika obvezna financijski plan usuglašen s proračunom koji je donijelo općinsko vijeće, usvojiti do kraja godine, kako bi se od 1. siječnja 202</w:t>
      </w:r>
      <w:r w:rsidR="007A6300">
        <w:t>4</w:t>
      </w:r>
      <w:r>
        <w:t>. mogle preuzimati i izvršavati nove obveze.</w:t>
      </w:r>
    </w:p>
    <w:p w14:paraId="749B3007" w14:textId="7234AD2A" w:rsidR="00235FE1" w:rsidRPr="009152F5" w:rsidRDefault="009152F5" w:rsidP="009152F5">
      <w:pPr>
        <w:jc w:val="both"/>
        <w:rPr>
          <w:b/>
          <w:bCs/>
        </w:rPr>
      </w:pPr>
      <w:r>
        <w:t>Kao što je navedeno u stavku 3. članka 38., prijedlog financijskog plana se donosi na drugoj razini Računskog plana, tj. na razini skupine ekonomske klasifikacije. To znači da je i upravno vijeće proračunskog korisnika obvezna usvojiti financijski plan za 202</w:t>
      </w:r>
      <w:r w:rsidR="007A6300">
        <w:t>4</w:t>
      </w:r>
      <w:r>
        <w:t>. godinu i projekcije za 202</w:t>
      </w:r>
      <w:r w:rsidR="007A6300">
        <w:t>5</w:t>
      </w:r>
      <w:r>
        <w:t>. i 202</w:t>
      </w:r>
      <w:r w:rsidR="007A6300">
        <w:t>6</w:t>
      </w:r>
      <w:r>
        <w:t>. godinu na razini skupine ekonomske klasifikacije (druga razina Računskog plana).</w:t>
      </w:r>
      <w:r>
        <w:cr/>
      </w:r>
    </w:p>
    <w:p w14:paraId="4D48BE68" w14:textId="4DF9DE6A" w:rsidR="009152F5" w:rsidRDefault="009152F5" w:rsidP="009152F5">
      <w:pPr>
        <w:jc w:val="both"/>
        <w:rPr>
          <w:b/>
          <w:bCs/>
        </w:rPr>
      </w:pPr>
      <w:r w:rsidRPr="009152F5">
        <w:rPr>
          <w:b/>
          <w:bCs/>
        </w:rPr>
        <w:t>Obrazloženje financijskog plana za 202</w:t>
      </w:r>
      <w:r w:rsidR="007A6300">
        <w:rPr>
          <w:b/>
          <w:bCs/>
        </w:rPr>
        <w:t>4</w:t>
      </w:r>
      <w:r w:rsidRPr="009152F5">
        <w:rPr>
          <w:b/>
          <w:bCs/>
        </w:rPr>
        <w:t>.-202</w:t>
      </w:r>
      <w:r w:rsidR="007A6300">
        <w:rPr>
          <w:b/>
          <w:bCs/>
        </w:rPr>
        <w:t>6</w:t>
      </w:r>
      <w:r w:rsidRPr="009152F5">
        <w:rPr>
          <w:b/>
          <w:bCs/>
        </w:rPr>
        <w:t>. godinu</w:t>
      </w:r>
    </w:p>
    <w:p w14:paraId="4541648C" w14:textId="59773898" w:rsidR="009152F5" w:rsidRDefault="009152F5" w:rsidP="009152F5">
      <w:pPr>
        <w:jc w:val="both"/>
      </w:pPr>
      <w:r>
        <w:t xml:space="preserve">Proračunski korisnik dužan je uz prijedlog financijskog plana izraditi i dostaviti obrazloženje financijskog plana, obrazloženje svog financijskog plana dostavljaju Općini </w:t>
      </w:r>
      <w:proofErr w:type="spellStart"/>
      <w:r w:rsidR="00544C61">
        <w:t>Lovas</w:t>
      </w:r>
      <w:proofErr w:type="spellEnd"/>
      <w:r>
        <w:t>.</w:t>
      </w:r>
    </w:p>
    <w:p w14:paraId="41E0EC7F" w14:textId="53B45FF5" w:rsidR="009152F5" w:rsidRDefault="009152F5" w:rsidP="009152F5">
      <w:pPr>
        <w:jc w:val="both"/>
      </w:pPr>
      <w:r>
        <w:t>Novi Zakon o proračunu propisuje da je obrazloženje sastavni dio proračuna, odnosno financijskog plana proračunskog korisnika, čime se obrazloženju daje veći značaj.</w:t>
      </w:r>
    </w:p>
    <w:p w14:paraId="1FF73A5F" w14:textId="104AE8A8" w:rsidR="009152F5" w:rsidRDefault="009152F5" w:rsidP="009152F5">
      <w:pPr>
        <w:jc w:val="both"/>
      </w:pPr>
      <w:r>
        <w:t>U odredbama Zakona kojima se detaljno propisuje sadržaj obrazloženja, navodi se da se obrazloženje programa daje kroz obrazloženje aktivnosti i projekata zajedno s ciljevima i pokazateljima uspješnosti iz akata strateškog planiranja, odnosno kod proračunskih korisnika iz akata strateškog planiranja i godišnjeg plana rada.</w:t>
      </w:r>
    </w:p>
    <w:p w14:paraId="047F7DD7" w14:textId="1DFFE72D" w:rsidR="009152F5" w:rsidRPr="009152F5" w:rsidRDefault="009152F5" w:rsidP="009152F5">
      <w:pPr>
        <w:jc w:val="both"/>
      </w:pPr>
      <w:r>
        <w:t>U tom smislu treba posvetiti posebnu pažnju obrazloženju financijskog plana, odnosno definiranju ciljeva koji se programima namjeravaju postići te pokazatelja uspješnosti ostvarenja tih ciljeva, koji se do sada nisu dosljedno definirali.</w:t>
      </w:r>
    </w:p>
    <w:p w14:paraId="61C1249F" w14:textId="49A6E15F" w:rsidR="00235FE1" w:rsidRPr="00235FE1" w:rsidRDefault="00235FE1" w:rsidP="00235FE1">
      <w:pPr>
        <w:jc w:val="both"/>
      </w:pPr>
    </w:p>
    <w:p w14:paraId="097B4EFF" w14:textId="77777777" w:rsidR="00A11E17" w:rsidRDefault="00A11E17" w:rsidP="00A11E17">
      <w:pPr>
        <w:jc w:val="both"/>
      </w:pPr>
      <w:r>
        <w:t>Obrazloženje financijskog plana uključuje:</w:t>
      </w:r>
    </w:p>
    <w:p w14:paraId="2220CBC9" w14:textId="35DBD0CF" w:rsidR="00235FE1" w:rsidRDefault="00A11E17" w:rsidP="00A11E17">
      <w:pPr>
        <w:pStyle w:val="Odlomakpopisa"/>
        <w:numPr>
          <w:ilvl w:val="0"/>
          <w:numId w:val="20"/>
        </w:numPr>
        <w:jc w:val="both"/>
      </w:pPr>
      <w:r>
        <w:t xml:space="preserve">UVODNI DIO u kojem je naveden sažetak djelokruga rada – naziv proračunskog korisnika, zadaća proračunskog korisnika (opisati najznačajnije poslove i zadatke),  organizacijska struktura (naglasiti specifičnosti, primjerice promjene u organizaciji), </w:t>
      </w:r>
      <w:r w:rsidRPr="00A11E17">
        <w:t>financijska sredstva raspoređena po programima/aktivnostima/projektima</w:t>
      </w:r>
      <w:r>
        <w:t>.</w:t>
      </w:r>
    </w:p>
    <w:p w14:paraId="659B0617" w14:textId="77777777" w:rsidR="00F805FD" w:rsidRDefault="00F805FD" w:rsidP="00F805FD">
      <w:pPr>
        <w:pStyle w:val="Odlomakpopisa"/>
        <w:numPr>
          <w:ilvl w:val="0"/>
          <w:numId w:val="20"/>
        </w:numPr>
        <w:jc w:val="both"/>
      </w:pPr>
      <w:r>
        <w:t>OBRAZLOŽENJE PROGRAMA/AKTIVNOSTI/PROJEKTA naziv i opis programa/aktivnosti/projekta, zakonsku i drugu podlogu za uključivanje programa/aktivnosti/projekta u financijski plan, prikaz općeg cilja/posebnih ciljeva programa/aktivnosti/projekta (definirati što se želi postići, kako se nastoji realizirati i tko je korisnik ili primatelj usluge), ishodište i pokazatelje na kojima se zasnivaju izračuni i ocjene potrebnih sredstava za provođenje programa/aktivnosti/projekata (potrebno je navesti temeljem čega su planske veličine određene u predloženim iznosima u financijskom planu.</w:t>
      </w:r>
    </w:p>
    <w:p w14:paraId="38D4C295" w14:textId="77777777" w:rsidR="00F805FD" w:rsidRDefault="00F805FD" w:rsidP="00F805FD">
      <w:pPr>
        <w:jc w:val="both"/>
      </w:pPr>
    </w:p>
    <w:p w14:paraId="4CE67029" w14:textId="363E1085" w:rsidR="00A11E17" w:rsidRPr="00F805FD" w:rsidRDefault="00F805FD" w:rsidP="00F805F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F805FD">
        <w:rPr>
          <w:b/>
          <w:bCs/>
        </w:rPr>
        <w:t>OBVEZNICI I ROKOVI DOSTAVE PRIJEDLOGA FINANCIJSKIH PLANOVA ZA</w:t>
      </w:r>
      <w:r>
        <w:rPr>
          <w:b/>
          <w:bCs/>
        </w:rPr>
        <w:t xml:space="preserve"> </w:t>
      </w:r>
      <w:r w:rsidRPr="00F805FD">
        <w:rPr>
          <w:b/>
          <w:bCs/>
        </w:rPr>
        <w:t>RAZDOBLJE 202</w:t>
      </w:r>
      <w:r w:rsidR="007A6300">
        <w:rPr>
          <w:b/>
          <w:bCs/>
        </w:rPr>
        <w:t>4</w:t>
      </w:r>
      <w:r w:rsidRPr="00F805FD">
        <w:rPr>
          <w:b/>
          <w:bCs/>
        </w:rPr>
        <w:t>.-202</w:t>
      </w:r>
      <w:r w:rsidR="007A6300">
        <w:rPr>
          <w:b/>
          <w:bCs/>
        </w:rPr>
        <w:t>6</w:t>
      </w:r>
      <w:r w:rsidRPr="00F805FD">
        <w:rPr>
          <w:b/>
          <w:bCs/>
        </w:rPr>
        <w:t>. GODINE</w:t>
      </w:r>
    </w:p>
    <w:p w14:paraId="3AFBF5C2" w14:textId="6F0FE6DF" w:rsidR="00F805FD" w:rsidRDefault="00F805FD" w:rsidP="00F805FD">
      <w:pPr>
        <w:jc w:val="both"/>
        <w:rPr>
          <w:b/>
          <w:bCs/>
        </w:rPr>
      </w:pPr>
    </w:p>
    <w:p w14:paraId="4C666BE6" w14:textId="77777777" w:rsidR="00F805FD" w:rsidRDefault="00F805FD" w:rsidP="00F805FD">
      <w:pPr>
        <w:jc w:val="both"/>
      </w:pPr>
      <w:r>
        <w:lastRenderedPageBreak/>
        <w:t>Obveznici</w:t>
      </w:r>
    </w:p>
    <w:p w14:paraId="6F98E5EA" w14:textId="59110965" w:rsidR="00F805FD" w:rsidRDefault="00F805FD" w:rsidP="00F805FD">
      <w:pPr>
        <w:jc w:val="both"/>
      </w:pPr>
      <w:r>
        <w:t>skladu s ovim Uputama proračunski korisnik, obvezan je izraditi svoje financijske planove za razdoblje 202</w:t>
      </w:r>
      <w:r w:rsidR="007A6300">
        <w:t>4</w:t>
      </w:r>
      <w:r>
        <w:t>.-202</w:t>
      </w:r>
      <w:r w:rsidR="007A6300">
        <w:t>6</w:t>
      </w:r>
      <w:r>
        <w:t>. godine iskazane u eurima.</w:t>
      </w:r>
    </w:p>
    <w:p w14:paraId="0B9E5E16" w14:textId="0EF78CBC" w:rsidR="00F805FD" w:rsidRDefault="00F805FD" w:rsidP="00F805FD">
      <w:pPr>
        <w:jc w:val="both"/>
      </w:pPr>
      <w:r>
        <w:t>Uz financijski plan, obvezno je izraditi obrazloženje financijskog plana za 202</w:t>
      </w:r>
      <w:r w:rsidR="007A6300">
        <w:t>4</w:t>
      </w:r>
      <w:r>
        <w:t>.-202</w:t>
      </w:r>
      <w:r w:rsidR="007A6300">
        <w:t>6</w:t>
      </w:r>
      <w:r>
        <w:t xml:space="preserve">. i dostaviti ga Općini. </w:t>
      </w:r>
    </w:p>
    <w:p w14:paraId="5018D938" w14:textId="047D13C4" w:rsidR="00F805FD" w:rsidRPr="00170765" w:rsidRDefault="00F805FD" w:rsidP="00F805FD">
      <w:pPr>
        <w:jc w:val="both"/>
      </w:pPr>
      <w:r>
        <w:t xml:space="preserve">Rok za dostavu: </w:t>
      </w:r>
      <w:r w:rsidRPr="00170765">
        <w:t xml:space="preserve">do </w:t>
      </w:r>
      <w:r w:rsidR="000826AD" w:rsidRPr="00170765">
        <w:t>31</w:t>
      </w:r>
      <w:r w:rsidRPr="00170765">
        <w:t>.  listopada 202</w:t>
      </w:r>
      <w:r w:rsidR="000826AD" w:rsidRPr="00170765">
        <w:t>3</w:t>
      </w:r>
      <w:r w:rsidRPr="00170765">
        <w:t>.</w:t>
      </w:r>
    </w:p>
    <w:p w14:paraId="15854C4A" w14:textId="35CC5CD8" w:rsidR="00F805FD" w:rsidRDefault="00F805FD" w:rsidP="00F805FD">
      <w:pPr>
        <w:jc w:val="both"/>
      </w:pPr>
    </w:p>
    <w:p w14:paraId="419002CE" w14:textId="77777777" w:rsidR="000826AD" w:rsidRDefault="000826AD" w:rsidP="00F805FD">
      <w:pPr>
        <w:jc w:val="both"/>
      </w:pPr>
    </w:p>
    <w:p w14:paraId="4F72E994" w14:textId="227F2F48" w:rsidR="00F805FD" w:rsidRPr="006752EF" w:rsidRDefault="00F805FD" w:rsidP="006752EF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6752EF">
        <w:rPr>
          <w:b/>
          <w:bCs/>
        </w:rPr>
        <w:t>VISINA FINANCIJSKOG PLANA PRORAČUNSKOG KORISNIKA</w:t>
      </w:r>
    </w:p>
    <w:p w14:paraId="4B9AD1D1" w14:textId="0D308FC4" w:rsidR="00F805FD" w:rsidRDefault="00D35E7C" w:rsidP="00F805FD">
      <w:pPr>
        <w:jc w:val="both"/>
      </w:pPr>
      <w:r>
        <w:t>Zakonom</w:t>
      </w:r>
      <w:r w:rsidR="00F805FD">
        <w:t xml:space="preserve"> o proračunu visina financijskog plana proračunskog korisnika sadrži visinu financijskog</w:t>
      </w:r>
      <w:r w:rsidR="006752EF">
        <w:t xml:space="preserve"> </w:t>
      </w:r>
      <w:r w:rsidR="00F805FD">
        <w:t>plana za prethodnu proračunsku godinu i tekuću proračunsku godinu te prijedlog visine</w:t>
      </w:r>
      <w:r w:rsidR="006752EF">
        <w:t xml:space="preserve"> </w:t>
      </w:r>
      <w:r w:rsidR="00F805FD">
        <w:t>financijskog plana za slijedeću proračunsku godinu i za slijedeće dvije godine raspoređen na:</w:t>
      </w:r>
    </w:p>
    <w:p w14:paraId="1E6200AC" w14:textId="0A653740" w:rsidR="00F805FD" w:rsidRDefault="00F805FD" w:rsidP="00F805FD">
      <w:pPr>
        <w:pStyle w:val="Odlomakpopisa"/>
        <w:numPr>
          <w:ilvl w:val="0"/>
          <w:numId w:val="22"/>
        </w:numPr>
        <w:jc w:val="both"/>
      </w:pPr>
      <w:r>
        <w:t>visinu sredstava potrebnih za provedbu postojećih programa, odnosno aktivnosti, koje</w:t>
      </w:r>
      <w:r w:rsidR="006752EF">
        <w:t xml:space="preserve"> </w:t>
      </w:r>
      <w:r>
        <w:t>proizlaze iz trenutno važećih propisa i</w:t>
      </w:r>
    </w:p>
    <w:p w14:paraId="7C129984" w14:textId="65146C6F" w:rsidR="00F805FD" w:rsidRDefault="00F805FD" w:rsidP="00F805FD">
      <w:pPr>
        <w:pStyle w:val="Odlomakpopisa"/>
        <w:numPr>
          <w:ilvl w:val="0"/>
          <w:numId w:val="22"/>
        </w:numPr>
        <w:jc w:val="both"/>
      </w:pPr>
      <w:r>
        <w:t>visinu sredstava potrebnih za uvođenje i provedbu novih ili promjenu postojećih programa,</w:t>
      </w:r>
      <w:r w:rsidR="006752EF">
        <w:t xml:space="preserve"> </w:t>
      </w:r>
      <w:r>
        <w:t>odnosno aktivnosti</w:t>
      </w:r>
      <w:r w:rsidR="006752EF">
        <w:t>.</w:t>
      </w:r>
    </w:p>
    <w:p w14:paraId="5B90C13A" w14:textId="737E6C63" w:rsidR="006752EF" w:rsidRDefault="006752EF" w:rsidP="006752EF">
      <w:pPr>
        <w:jc w:val="both"/>
      </w:pPr>
    </w:p>
    <w:p w14:paraId="541116F6" w14:textId="2EAAC518" w:rsidR="006752EF" w:rsidRDefault="006752EF" w:rsidP="006752EF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9"/>
        <w:gridCol w:w="2261"/>
        <w:gridCol w:w="2261"/>
        <w:gridCol w:w="2261"/>
      </w:tblGrid>
      <w:tr w:rsidR="006752EF" w14:paraId="373BE57A" w14:textId="77777777" w:rsidTr="006752EF">
        <w:tc>
          <w:tcPr>
            <w:tcW w:w="2322" w:type="dxa"/>
          </w:tcPr>
          <w:p w14:paraId="2F1D226A" w14:textId="4CA856BF" w:rsidR="006752EF" w:rsidRPr="006752EF" w:rsidRDefault="006752EF" w:rsidP="006752EF">
            <w:pPr>
              <w:jc w:val="center"/>
              <w:rPr>
                <w:b/>
                <w:bCs/>
              </w:rPr>
            </w:pPr>
            <w:r w:rsidRPr="006752EF">
              <w:rPr>
                <w:b/>
                <w:bCs/>
              </w:rPr>
              <w:t>Proračunski korisnik</w:t>
            </w:r>
          </w:p>
        </w:tc>
        <w:tc>
          <w:tcPr>
            <w:tcW w:w="2322" w:type="dxa"/>
          </w:tcPr>
          <w:p w14:paraId="0BBDF994" w14:textId="43316E02" w:rsidR="006752EF" w:rsidRPr="006752EF" w:rsidRDefault="006752EF" w:rsidP="006752EF">
            <w:pPr>
              <w:jc w:val="center"/>
              <w:rPr>
                <w:b/>
                <w:bCs/>
              </w:rPr>
            </w:pPr>
            <w:r w:rsidRPr="006752EF">
              <w:rPr>
                <w:b/>
                <w:bCs/>
              </w:rPr>
              <w:t>202</w:t>
            </w:r>
            <w:r w:rsidR="000826AD">
              <w:rPr>
                <w:b/>
                <w:bCs/>
              </w:rPr>
              <w:t>4</w:t>
            </w:r>
            <w:r w:rsidRPr="006752EF">
              <w:rPr>
                <w:b/>
                <w:bCs/>
              </w:rPr>
              <w:t>. godin</w:t>
            </w:r>
            <w:r>
              <w:rPr>
                <w:b/>
                <w:bCs/>
              </w:rPr>
              <w:t>a</w:t>
            </w:r>
          </w:p>
        </w:tc>
        <w:tc>
          <w:tcPr>
            <w:tcW w:w="2322" w:type="dxa"/>
          </w:tcPr>
          <w:p w14:paraId="121C57AB" w14:textId="3461DA8C" w:rsidR="006752EF" w:rsidRPr="006752EF" w:rsidRDefault="006752EF" w:rsidP="006752EF">
            <w:pPr>
              <w:jc w:val="center"/>
              <w:rPr>
                <w:b/>
                <w:bCs/>
              </w:rPr>
            </w:pPr>
            <w:r w:rsidRPr="006752EF">
              <w:rPr>
                <w:b/>
                <w:bCs/>
              </w:rPr>
              <w:t>202</w:t>
            </w:r>
            <w:r w:rsidR="000826AD">
              <w:rPr>
                <w:b/>
                <w:bCs/>
              </w:rPr>
              <w:t>5</w:t>
            </w:r>
            <w:r w:rsidRPr="006752EF">
              <w:rPr>
                <w:b/>
                <w:bCs/>
              </w:rPr>
              <w:t>. godina</w:t>
            </w:r>
          </w:p>
        </w:tc>
        <w:tc>
          <w:tcPr>
            <w:tcW w:w="2322" w:type="dxa"/>
          </w:tcPr>
          <w:p w14:paraId="645BF7BC" w14:textId="7F9EBEFB" w:rsidR="006752EF" w:rsidRPr="006752EF" w:rsidRDefault="006752EF" w:rsidP="006752EF">
            <w:pPr>
              <w:jc w:val="center"/>
              <w:rPr>
                <w:b/>
                <w:bCs/>
              </w:rPr>
            </w:pPr>
            <w:r w:rsidRPr="006752EF">
              <w:rPr>
                <w:b/>
                <w:bCs/>
              </w:rPr>
              <w:t>202</w:t>
            </w:r>
            <w:r w:rsidR="000826AD">
              <w:rPr>
                <w:b/>
                <w:bCs/>
              </w:rPr>
              <w:t>6</w:t>
            </w:r>
            <w:r w:rsidRPr="006752EF">
              <w:rPr>
                <w:b/>
                <w:bCs/>
              </w:rPr>
              <w:t>. godina</w:t>
            </w:r>
          </w:p>
        </w:tc>
      </w:tr>
      <w:tr w:rsidR="006752EF" w14:paraId="2580BB32" w14:textId="77777777" w:rsidTr="006752EF">
        <w:tc>
          <w:tcPr>
            <w:tcW w:w="2322" w:type="dxa"/>
          </w:tcPr>
          <w:p w14:paraId="25E3AD5C" w14:textId="4048997D" w:rsidR="006752EF" w:rsidRDefault="00544C61" w:rsidP="006752EF">
            <w:pPr>
              <w:jc w:val="center"/>
            </w:pPr>
            <w:r>
              <w:t>RA TINTL</w:t>
            </w:r>
          </w:p>
        </w:tc>
        <w:tc>
          <w:tcPr>
            <w:tcW w:w="2322" w:type="dxa"/>
          </w:tcPr>
          <w:p w14:paraId="2A7E6E53" w14:textId="5150BE91" w:rsidR="006752EF" w:rsidRDefault="00D35E7C" w:rsidP="006752EF">
            <w:pPr>
              <w:jc w:val="center"/>
            </w:pPr>
            <w:r>
              <w:t>66.364,00</w:t>
            </w:r>
            <w:r w:rsidR="006C21DB">
              <w:t xml:space="preserve"> eura</w:t>
            </w:r>
          </w:p>
        </w:tc>
        <w:tc>
          <w:tcPr>
            <w:tcW w:w="2322" w:type="dxa"/>
          </w:tcPr>
          <w:p w14:paraId="4F5B4011" w14:textId="1638E2D4" w:rsidR="006752EF" w:rsidRDefault="00D35E7C" w:rsidP="006752EF">
            <w:pPr>
              <w:jc w:val="center"/>
            </w:pPr>
            <w:r>
              <w:t>66.364,00</w:t>
            </w:r>
            <w:r w:rsidR="006C21DB">
              <w:t xml:space="preserve"> eura</w:t>
            </w:r>
          </w:p>
        </w:tc>
        <w:tc>
          <w:tcPr>
            <w:tcW w:w="2322" w:type="dxa"/>
          </w:tcPr>
          <w:p w14:paraId="7AB5A4D0" w14:textId="2358A06C" w:rsidR="006752EF" w:rsidRDefault="00D35E7C" w:rsidP="006752EF">
            <w:pPr>
              <w:jc w:val="center"/>
            </w:pPr>
            <w:r>
              <w:t>66.364,00</w:t>
            </w:r>
            <w:r w:rsidR="006C21DB">
              <w:t xml:space="preserve"> eura</w:t>
            </w:r>
          </w:p>
        </w:tc>
      </w:tr>
    </w:tbl>
    <w:p w14:paraId="6857E882" w14:textId="2DBDB3BD" w:rsidR="006752EF" w:rsidRDefault="006752EF" w:rsidP="006752EF">
      <w:pPr>
        <w:jc w:val="both"/>
      </w:pPr>
    </w:p>
    <w:p w14:paraId="689A5ED7" w14:textId="77777777" w:rsidR="00D35E7C" w:rsidRDefault="00D35E7C" w:rsidP="00D35E7C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svrhu izrade fiskalno održivog proračuna u idućem trogodišnjem razdoblju, proračunski korisnik obavezan je planirati rashode i izdatke prema limitima iz izvora: opći prihodi utvrđenim u ovim uputama.</w:t>
      </w:r>
    </w:p>
    <w:p w14:paraId="05355026" w14:textId="5DA618CE" w:rsidR="00D35E7C" w:rsidRDefault="00D35E7C" w:rsidP="00D35E7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Rashode koji se financiraju iz vlastitih izvora proračunski korisnik planira do visine ukupno procijenjenih prihoda iz tih izvora jer isti ne ulazi u dostavljene limite. Ovi su izvori fleksibilni što znači da ako se prihodi iz tih izvora ostvare iznad plana, rashodi se mogu izvršavati do visine uplaćenih prihoda.</w:t>
      </w:r>
    </w:p>
    <w:p w14:paraId="61A52197" w14:textId="17068615" w:rsidR="006C21DB" w:rsidRDefault="006C21DB" w:rsidP="006752EF">
      <w:pPr>
        <w:jc w:val="both"/>
      </w:pPr>
    </w:p>
    <w:p w14:paraId="0955D871" w14:textId="2D4A760D" w:rsidR="006C21DB" w:rsidRDefault="006C21DB" w:rsidP="006C21DB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6C21DB">
        <w:rPr>
          <w:b/>
          <w:bCs/>
        </w:rPr>
        <w:t>DOSTUPNOST MATERIJALA NA MREŽNOJ STRANICI MINISTARSTVA</w:t>
      </w:r>
      <w:r>
        <w:rPr>
          <w:b/>
          <w:bCs/>
        </w:rPr>
        <w:t xml:space="preserve"> </w:t>
      </w:r>
      <w:r w:rsidRPr="006C21DB">
        <w:rPr>
          <w:b/>
          <w:bCs/>
        </w:rPr>
        <w:t xml:space="preserve">FINANCIJA I </w:t>
      </w:r>
      <w:r>
        <w:rPr>
          <w:b/>
          <w:bCs/>
        </w:rPr>
        <w:t xml:space="preserve">OPĆINE </w:t>
      </w:r>
      <w:r w:rsidR="00D35E7C">
        <w:rPr>
          <w:b/>
          <w:bCs/>
        </w:rPr>
        <w:t>LOVAS</w:t>
      </w:r>
    </w:p>
    <w:p w14:paraId="262ABAE1" w14:textId="77777777" w:rsidR="006C21DB" w:rsidRPr="006C21DB" w:rsidRDefault="006C21DB" w:rsidP="006C21DB">
      <w:pPr>
        <w:jc w:val="both"/>
      </w:pPr>
    </w:p>
    <w:p w14:paraId="7052A081" w14:textId="5E7AB154" w:rsidR="006C21DB" w:rsidRDefault="00D35E7C" w:rsidP="006C21DB">
      <w:pPr>
        <w:ind w:firstLine="360"/>
        <w:jc w:val="both"/>
      </w:pPr>
      <w:r>
        <w:rPr>
          <w:rStyle w:val="Hiperveza"/>
        </w:rPr>
        <w:t>www.lovas.hr</w:t>
      </w:r>
      <w:r w:rsidR="006C21DB" w:rsidRPr="006C21DB">
        <w:t xml:space="preserve"> </w:t>
      </w:r>
    </w:p>
    <w:p w14:paraId="1BFA30F5" w14:textId="77777777" w:rsidR="007A558C" w:rsidRDefault="007A558C" w:rsidP="006C21DB">
      <w:pPr>
        <w:ind w:firstLine="360"/>
        <w:jc w:val="both"/>
      </w:pPr>
    </w:p>
    <w:p w14:paraId="6834EDF5" w14:textId="77777777" w:rsidR="007A558C" w:rsidRDefault="007A558C" w:rsidP="006C21DB">
      <w:pPr>
        <w:ind w:firstLine="360"/>
        <w:jc w:val="both"/>
      </w:pPr>
    </w:p>
    <w:p w14:paraId="5199D0BB" w14:textId="479CE60E" w:rsidR="007A558C" w:rsidRDefault="007A558C" w:rsidP="006C21DB">
      <w:pPr>
        <w:ind w:firstLine="360"/>
        <w:jc w:val="both"/>
      </w:pPr>
      <w:r>
        <w:t xml:space="preserve">                                                                         v.d. Pročelnik Jedinstvenog upravnog odjela</w:t>
      </w:r>
    </w:p>
    <w:p w14:paraId="6932808C" w14:textId="517A766A" w:rsidR="007A558C" w:rsidRPr="006C21DB" w:rsidRDefault="007A558C" w:rsidP="006C21DB">
      <w:pPr>
        <w:ind w:firstLine="360"/>
        <w:jc w:val="both"/>
      </w:pPr>
      <w:r>
        <w:t xml:space="preserve">                                                                         Darko </w:t>
      </w:r>
      <w:proofErr w:type="spellStart"/>
      <w:r>
        <w:t>Ruskaj</w:t>
      </w:r>
      <w:proofErr w:type="spellEnd"/>
      <w:r>
        <w:t xml:space="preserve">, </w:t>
      </w:r>
      <w:proofErr w:type="spellStart"/>
      <w:r>
        <w:t>dipl.iur</w:t>
      </w:r>
      <w:proofErr w:type="spellEnd"/>
      <w:r>
        <w:t>.</w:t>
      </w:r>
    </w:p>
    <w:sectPr w:rsidR="007A558C" w:rsidRPr="006C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F90"/>
    <w:multiLevelType w:val="hybridMultilevel"/>
    <w:tmpl w:val="AB602D2A"/>
    <w:lvl w:ilvl="0" w:tplc="DB40A7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51ED7"/>
    <w:multiLevelType w:val="multilevel"/>
    <w:tmpl w:val="A61C2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655D5"/>
    <w:multiLevelType w:val="hybridMultilevel"/>
    <w:tmpl w:val="05364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23F"/>
    <w:multiLevelType w:val="hybridMultilevel"/>
    <w:tmpl w:val="77F6A100"/>
    <w:lvl w:ilvl="0" w:tplc="38382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62FB"/>
    <w:multiLevelType w:val="hybridMultilevel"/>
    <w:tmpl w:val="6A303954"/>
    <w:lvl w:ilvl="0" w:tplc="2080394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459E"/>
    <w:multiLevelType w:val="hybridMultilevel"/>
    <w:tmpl w:val="DDFCC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72D7C"/>
    <w:multiLevelType w:val="multilevel"/>
    <w:tmpl w:val="60481F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813CA6"/>
    <w:multiLevelType w:val="hybridMultilevel"/>
    <w:tmpl w:val="DA1AB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A44EF"/>
    <w:multiLevelType w:val="hybridMultilevel"/>
    <w:tmpl w:val="984C11F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476B"/>
    <w:multiLevelType w:val="hybridMultilevel"/>
    <w:tmpl w:val="1E2613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00E0"/>
    <w:multiLevelType w:val="multilevel"/>
    <w:tmpl w:val="A00EE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7A20D0"/>
    <w:multiLevelType w:val="hybridMultilevel"/>
    <w:tmpl w:val="F38A8A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155B"/>
    <w:multiLevelType w:val="multilevel"/>
    <w:tmpl w:val="A194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1608E4"/>
    <w:multiLevelType w:val="multilevel"/>
    <w:tmpl w:val="7BD40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7A53C71"/>
    <w:multiLevelType w:val="hybridMultilevel"/>
    <w:tmpl w:val="1E2613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C2964"/>
    <w:multiLevelType w:val="hybridMultilevel"/>
    <w:tmpl w:val="39D4FC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11E35"/>
    <w:multiLevelType w:val="hybridMultilevel"/>
    <w:tmpl w:val="1CCE80EE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CEDEA75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6D01AA"/>
    <w:multiLevelType w:val="multilevel"/>
    <w:tmpl w:val="212A97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A8432E"/>
    <w:multiLevelType w:val="hybridMultilevel"/>
    <w:tmpl w:val="E586F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6419"/>
    <w:multiLevelType w:val="hybridMultilevel"/>
    <w:tmpl w:val="3CCA9F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D6A70"/>
    <w:multiLevelType w:val="multilevel"/>
    <w:tmpl w:val="482C2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BBD1333"/>
    <w:multiLevelType w:val="hybridMultilevel"/>
    <w:tmpl w:val="B6DE0E86"/>
    <w:lvl w:ilvl="0" w:tplc="38382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A2D47"/>
    <w:multiLevelType w:val="multilevel"/>
    <w:tmpl w:val="7C86B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D814B4"/>
    <w:multiLevelType w:val="hybridMultilevel"/>
    <w:tmpl w:val="FEAE1A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22"/>
  </w:num>
  <w:num w:numId="7">
    <w:abstractNumId w:val="4"/>
  </w:num>
  <w:num w:numId="8">
    <w:abstractNumId w:val="10"/>
  </w:num>
  <w:num w:numId="9">
    <w:abstractNumId w:val="17"/>
  </w:num>
  <w:num w:numId="10">
    <w:abstractNumId w:val="0"/>
  </w:num>
  <w:num w:numId="11">
    <w:abstractNumId w:val="1"/>
  </w:num>
  <w:num w:numId="12">
    <w:abstractNumId w:val="20"/>
  </w:num>
  <w:num w:numId="13">
    <w:abstractNumId w:val="13"/>
  </w:num>
  <w:num w:numId="14">
    <w:abstractNumId w:val="5"/>
  </w:num>
  <w:num w:numId="15">
    <w:abstractNumId w:val="18"/>
  </w:num>
  <w:num w:numId="16">
    <w:abstractNumId w:val="21"/>
  </w:num>
  <w:num w:numId="17">
    <w:abstractNumId w:val="15"/>
  </w:num>
  <w:num w:numId="18">
    <w:abstractNumId w:val="16"/>
  </w:num>
  <w:num w:numId="19">
    <w:abstractNumId w:val="11"/>
  </w:num>
  <w:num w:numId="20">
    <w:abstractNumId w:val="3"/>
  </w:num>
  <w:num w:numId="21">
    <w:abstractNumId w:val="2"/>
  </w:num>
  <w:num w:numId="22">
    <w:abstractNumId w:val="19"/>
  </w:num>
  <w:num w:numId="23">
    <w:abstractNumId w:val="2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1B"/>
    <w:rsid w:val="0001091C"/>
    <w:rsid w:val="00025F7C"/>
    <w:rsid w:val="00050787"/>
    <w:rsid w:val="000568E0"/>
    <w:rsid w:val="000602BA"/>
    <w:rsid w:val="00067DA9"/>
    <w:rsid w:val="000826AD"/>
    <w:rsid w:val="00084CA5"/>
    <w:rsid w:val="000901BD"/>
    <w:rsid w:val="0009304F"/>
    <w:rsid w:val="00093594"/>
    <w:rsid w:val="000A0D6D"/>
    <w:rsid w:val="000A6131"/>
    <w:rsid w:val="00100329"/>
    <w:rsid w:val="00120BAA"/>
    <w:rsid w:val="00122DD5"/>
    <w:rsid w:val="001248F6"/>
    <w:rsid w:val="0013117F"/>
    <w:rsid w:val="00156AFD"/>
    <w:rsid w:val="0016435E"/>
    <w:rsid w:val="00170765"/>
    <w:rsid w:val="001717AF"/>
    <w:rsid w:val="00171C41"/>
    <w:rsid w:val="001731FC"/>
    <w:rsid w:val="00180132"/>
    <w:rsid w:val="00185A28"/>
    <w:rsid w:val="001A3FD3"/>
    <w:rsid w:val="001B603E"/>
    <w:rsid w:val="001B73CD"/>
    <w:rsid w:val="001D4157"/>
    <w:rsid w:val="001F17CE"/>
    <w:rsid w:val="001F2043"/>
    <w:rsid w:val="001F678E"/>
    <w:rsid w:val="00200BDC"/>
    <w:rsid w:val="002342D8"/>
    <w:rsid w:val="00235FE1"/>
    <w:rsid w:val="00236206"/>
    <w:rsid w:val="00255C68"/>
    <w:rsid w:val="00261A81"/>
    <w:rsid w:val="002922D3"/>
    <w:rsid w:val="002A09E2"/>
    <w:rsid w:val="002A23F0"/>
    <w:rsid w:val="002C4ABE"/>
    <w:rsid w:val="002F017C"/>
    <w:rsid w:val="0030504B"/>
    <w:rsid w:val="003146CD"/>
    <w:rsid w:val="00341578"/>
    <w:rsid w:val="00345A7B"/>
    <w:rsid w:val="00356115"/>
    <w:rsid w:val="0036185C"/>
    <w:rsid w:val="003B6C2C"/>
    <w:rsid w:val="003C0034"/>
    <w:rsid w:val="003D03E5"/>
    <w:rsid w:val="003D2285"/>
    <w:rsid w:val="003E170D"/>
    <w:rsid w:val="003F5837"/>
    <w:rsid w:val="00410DCB"/>
    <w:rsid w:val="00420E82"/>
    <w:rsid w:val="0042179C"/>
    <w:rsid w:val="00471CF3"/>
    <w:rsid w:val="00492FD7"/>
    <w:rsid w:val="004A24DA"/>
    <w:rsid w:val="004A6464"/>
    <w:rsid w:val="004B7B8A"/>
    <w:rsid w:val="004C4A24"/>
    <w:rsid w:val="004D121D"/>
    <w:rsid w:val="004E4534"/>
    <w:rsid w:val="00524CDD"/>
    <w:rsid w:val="00544C61"/>
    <w:rsid w:val="0056616D"/>
    <w:rsid w:val="0056678F"/>
    <w:rsid w:val="00597AFB"/>
    <w:rsid w:val="005C48E2"/>
    <w:rsid w:val="005E2027"/>
    <w:rsid w:val="005F70F0"/>
    <w:rsid w:val="00624929"/>
    <w:rsid w:val="00625AE0"/>
    <w:rsid w:val="006633E9"/>
    <w:rsid w:val="0066459C"/>
    <w:rsid w:val="006650D2"/>
    <w:rsid w:val="0067098A"/>
    <w:rsid w:val="006752EF"/>
    <w:rsid w:val="006912EA"/>
    <w:rsid w:val="006A15BD"/>
    <w:rsid w:val="006A6FD1"/>
    <w:rsid w:val="006C21DB"/>
    <w:rsid w:val="006D704C"/>
    <w:rsid w:val="00711E18"/>
    <w:rsid w:val="00751B30"/>
    <w:rsid w:val="007563CD"/>
    <w:rsid w:val="0076158A"/>
    <w:rsid w:val="00773403"/>
    <w:rsid w:val="00777214"/>
    <w:rsid w:val="0078738A"/>
    <w:rsid w:val="007A558C"/>
    <w:rsid w:val="007A6300"/>
    <w:rsid w:val="007D0C1B"/>
    <w:rsid w:val="007D0EC2"/>
    <w:rsid w:val="007E0486"/>
    <w:rsid w:val="007F4759"/>
    <w:rsid w:val="007F606E"/>
    <w:rsid w:val="008857F3"/>
    <w:rsid w:val="00894AFF"/>
    <w:rsid w:val="008955DC"/>
    <w:rsid w:val="008B078D"/>
    <w:rsid w:val="008C3E6B"/>
    <w:rsid w:val="008C61A0"/>
    <w:rsid w:val="009066DB"/>
    <w:rsid w:val="009152F5"/>
    <w:rsid w:val="00936B1D"/>
    <w:rsid w:val="00994D5D"/>
    <w:rsid w:val="009B482D"/>
    <w:rsid w:val="009D0583"/>
    <w:rsid w:val="00A05C2E"/>
    <w:rsid w:val="00A11E17"/>
    <w:rsid w:val="00A12BFE"/>
    <w:rsid w:val="00A167C1"/>
    <w:rsid w:val="00A21933"/>
    <w:rsid w:val="00A3657A"/>
    <w:rsid w:val="00A43398"/>
    <w:rsid w:val="00A47AA4"/>
    <w:rsid w:val="00A57A23"/>
    <w:rsid w:val="00A6434E"/>
    <w:rsid w:val="00A73092"/>
    <w:rsid w:val="00A80A66"/>
    <w:rsid w:val="00A96443"/>
    <w:rsid w:val="00AB5C04"/>
    <w:rsid w:val="00AB609B"/>
    <w:rsid w:val="00AC27DE"/>
    <w:rsid w:val="00AE534E"/>
    <w:rsid w:val="00AF40D1"/>
    <w:rsid w:val="00B02C95"/>
    <w:rsid w:val="00B03C5A"/>
    <w:rsid w:val="00B23A41"/>
    <w:rsid w:val="00B66DC4"/>
    <w:rsid w:val="00B77695"/>
    <w:rsid w:val="00B957CF"/>
    <w:rsid w:val="00B96B33"/>
    <w:rsid w:val="00BA6455"/>
    <w:rsid w:val="00BB01E7"/>
    <w:rsid w:val="00BD7020"/>
    <w:rsid w:val="00BE025A"/>
    <w:rsid w:val="00BE0793"/>
    <w:rsid w:val="00BF195A"/>
    <w:rsid w:val="00C01CEC"/>
    <w:rsid w:val="00C05F0D"/>
    <w:rsid w:val="00C1100E"/>
    <w:rsid w:val="00C15AA9"/>
    <w:rsid w:val="00C15B35"/>
    <w:rsid w:val="00C41422"/>
    <w:rsid w:val="00C573F5"/>
    <w:rsid w:val="00C83117"/>
    <w:rsid w:val="00C9606A"/>
    <w:rsid w:val="00C96B80"/>
    <w:rsid w:val="00CA074B"/>
    <w:rsid w:val="00CC04E9"/>
    <w:rsid w:val="00CC3459"/>
    <w:rsid w:val="00CE3C1A"/>
    <w:rsid w:val="00CF1D30"/>
    <w:rsid w:val="00D04665"/>
    <w:rsid w:val="00D065FA"/>
    <w:rsid w:val="00D25222"/>
    <w:rsid w:val="00D3291F"/>
    <w:rsid w:val="00D35E7C"/>
    <w:rsid w:val="00D36166"/>
    <w:rsid w:val="00D36367"/>
    <w:rsid w:val="00D73A7C"/>
    <w:rsid w:val="00D82A9D"/>
    <w:rsid w:val="00D92AF2"/>
    <w:rsid w:val="00DB5BC6"/>
    <w:rsid w:val="00DD59B9"/>
    <w:rsid w:val="00DF7F33"/>
    <w:rsid w:val="00E04913"/>
    <w:rsid w:val="00E17E76"/>
    <w:rsid w:val="00E20844"/>
    <w:rsid w:val="00E3786B"/>
    <w:rsid w:val="00E43156"/>
    <w:rsid w:val="00E57D67"/>
    <w:rsid w:val="00E83E6E"/>
    <w:rsid w:val="00EA6E45"/>
    <w:rsid w:val="00EB5072"/>
    <w:rsid w:val="00EC205F"/>
    <w:rsid w:val="00ED7892"/>
    <w:rsid w:val="00EF5CD9"/>
    <w:rsid w:val="00EF6F13"/>
    <w:rsid w:val="00F17ECD"/>
    <w:rsid w:val="00F3649D"/>
    <w:rsid w:val="00F55892"/>
    <w:rsid w:val="00F604A9"/>
    <w:rsid w:val="00F805FD"/>
    <w:rsid w:val="00F87476"/>
    <w:rsid w:val="00FA41BD"/>
    <w:rsid w:val="00FB48B4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F4C"/>
  <w15:docId w15:val="{3233322C-A5F7-44E8-A103-79B2ADDC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39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0C1B"/>
    <w:pPr>
      <w:spacing w:after="0" w:line="240" w:lineRule="auto"/>
    </w:pPr>
  </w:style>
  <w:style w:type="paragraph" w:customStyle="1" w:styleId="Default">
    <w:name w:val="Default"/>
    <w:rsid w:val="007D0C1B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07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78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F606E"/>
    <w:pPr>
      <w:ind w:left="720"/>
      <w:contextualSpacing/>
    </w:pPr>
  </w:style>
  <w:style w:type="table" w:styleId="Reetkatablice">
    <w:name w:val="Table Grid"/>
    <w:basedOn w:val="Obinatablica"/>
    <w:uiPriority w:val="59"/>
    <w:rsid w:val="0069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6158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C21D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C4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56B0-5A92-4D63-BC1D-FCE885DE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3077</Words>
  <Characters>17545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Vanja Balić</cp:lastModifiedBy>
  <cp:revision>10</cp:revision>
  <cp:lastPrinted>2024-03-26T10:48:00Z</cp:lastPrinted>
  <dcterms:created xsi:type="dcterms:W3CDTF">2024-03-26T10:44:00Z</dcterms:created>
  <dcterms:modified xsi:type="dcterms:W3CDTF">2024-03-26T11:20:00Z</dcterms:modified>
</cp:coreProperties>
</file>